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33" w:rsidRPr="005F7A33" w:rsidRDefault="00F31CCC" w:rsidP="005F7A33">
      <w:pPr>
        <w:shd w:val="clear" w:color="auto" w:fill="FFFFFF"/>
        <w:spacing w:after="0" w:line="240" w:lineRule="auto"/>
        <w:textAlignment w:val="baseline"/>
        <w:outlineLvl w:val="0"/>
        <w:rPr>
          <w:rFonts w:ascii="Comic Sans MS" w:eastAsia="Times New Roman" w:hAnsi="Comic Sans MS" w:cs="Arial"/>
          <w:b/>
          <w:bCs/>
          <w:i/>
          <w:color w:val="CC0000"/>
          <w:kern w:val="36"/>
          <w:sz w:val="48"/>
          <w:szCs w:val="48"/>
          <w:u w:val="single"/>
          <w:lang w:eastAsia="cs-CZ"/>
        </w:rPr>
      </w:pPr>
      <w:r w:rsidRPr="005F7A33">
        <w:rPr>
          <w:rFonts w:ascii="Comic Sans MS" w:eastAsia="Times New Roman" w:hAnsi="Comic Sans MS" w:cs="Arial"/>
          <w:b/>
          <w:bCs/>
          <w:i/>
          <w:color w:val="CC0000"/>
          <w:kern w:val="36"/>
          <w:sz w:val="48"/>
          <w:szCs w:val="48"/>
          <w:u w:val="single"/>
          <w:bdr w:val="none" w:sz="0" w:space="0" w:color="auto" w:frame="1"/>
          <w:lang w:eastAsia="cs-CZ"/>
        </w:rPr>
        <w:t xml:space="preserve">Úrok, </w:t>
      </w:r>
      <w:r w:rsidRPr="005F7A33">
        <w:rPr>
          <w:rFonts w:ascii="Comic Sans MS" w:eastAsia="Times New Roman" w:hAnsi="Comic Sans MS" w:cs="Open Sans"/>
          <w:b/>
          <w:bCs/>
          <w:i/>
          <w:color w:val="CC0000"/>
          <w:kern w:val="36"/>
          <w:sz w:val="48"/>
          <w:szCs w:val="48"/>
          <w:u w:val="single"/>
          <w:bdr w:val="none" w:sz="0" w:space="0" w:color="auto" w:frame="1"/>
          <w:lang w:eastAsia="cs-CZ"/>
        </w:rPr>
        <w:t xml:space="preserve">Složený úrok, </w:t>
      </w:r>
      <w:r w:rsidR="005F7A33" w:rsidRPr="005F7A33">
        <w:rPr>
          <w:rFonts w:ascii="Comic Sans MS" w:eastAsia="Times New Roman" w:hAnsi="Comic Sans MS" w:cs="Arial"/>
          <w:b/>
          <w:bCs/>
          <w:i/>
          <w:color w:val="CC0000"/>
          <w:kern w:val="36"/>
          <w:sz w:val="48"/>
          <w:szCs w:val="48"/>
          <w:u w:val="single"/>
          <w:bdr w:val="none" w:sz="0" w:space="0" w:color="auto" w:frame="1"/>
          <w:lang w:eastAsia="cs-CZ"/>
        </w:rPr>
        <w:t>Postupné úročení</w:t>
      </w:r>
    </w:p>
    <w:p w:rsidR="00F31CCC" w:rsidRPr="004F3453" w:rsidRDefault="00F31CCC" w:rsidP="00F31CC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CC0000"/>
          <w:kern w:val="36"/>
          <w:sz w:val="24"/>
          <w:szCs w:val="24"/>
          <w:lang w:eastAsia="cs-CZ"/>
        </w:rPr>
      </w:pPr>
    </w:p>
    <w:p w:rsidR="004F3453" w:rsidRPr="00F31CCC" w:rsidRDefault="004F3453" w:rsidP="004F3453">
      <w:pPr>
        <w:shd w:val="clear" w:color="auto" w:fill="FFFFFF"/>
        <w:spacing w:after="0" w:line="240" w:lineRule="auto"/>
        <w:textAlignment w:val="baseline"/>
        <w:outlineLvl w:val="0"/>
        <w:rPr>
          <w:rFonts w:ascii="Comic Sans MS" w:eastAsia="Times New Roman" w:hAnsi="Comic Sans MS" w:cs="Arial"/>
          <w:b/>
          <w:bCs/>
          <w:i/>
          <w:color w:val="CC0000"/>
          <w:kern w:val="36"/>
          <w:sz w:val="32"/>
          <w:szCs w:val="32"/>
          <w:u w:val="single"/>
          <w:lang w:eastAsia="cs-CZ"/>
        </w:rPr>
      </w:pPr>
      <w:r w:rsidRPr="00F31CCC">
        <w:rPr>
          <w:rFonts w:ascii="Comic Sans MS" w:eastAsia="Times New Roman" w:hAnsi="Comic Sans MS" w:cs="Arial"/>
          <w:b/>
          <w:bCs/>
          <w:i/>
          <w:color w:val="CC0000"/>
          <w:kern w:val="36"/>
          <w:sz w:val="32"/>
          <w:szCs w:val="32"/>
          <w:u w:val="single"/>
          <w:bdr w:val="none" w:sz="0" w:space="0" w:color="auto" w:frame="1"/>
          <w:lang w:eastAsia="cs-CZ"/>
        </w:rPr>
        <w:t>Úrok</w:t>
      </w:r>
    </w:p>
    <w:p w:rsidR="004F3453" w:rsidRPr="004F3453" w:rsidRDefault="004F3453" w:rsidP="004F3453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Úrok je odměna za to, že jste někomu něco půjčili. Teoreticky může být úrokem cokoliv, v praxi se pak bavíme o penězích. Velikost úroku specifikuje úroková sazba spolu s časovým intervalem a počítá se ze z peněz, které jste půjčili.</w:t>
      </w:r>
    </w:p>
    <w:p w:rsidR="004F3453" w:rsidRPr="004F3453" w:rsidRDefault="004F3453" w:rsidP="004F3453">
      <w:pPr>
        <w:spacing w:beforeAutospacing="1" w:after="0" w:afterAutospacing="1" w:line="240" w:lineRule="auto"/>
        <w:textAlignment w:val="baseline"/>
        <w:outlineLvl w:val="1"/>
        <w:rPr>
          <w:rFonts w:ascii="Comic Sans MS" w:eastAsia="Times New Roman" w:hAnsi="Comic Sans MS" w:cs="Arial"/>
          <w:b/>
          <w:bCs/>
          <w:i/>
          <w:color w:val="0070C0"/>
          <w:sz w:val="28"/>
          <w:szCs w:val="28"/>
          <w:u w:val="single"/>
          <w:lang w:eastAsia="cs-CZ"/>
        </w:rPr>
      </w:pPr>
      <w:r w:rsidRPr="004F3453">
        <w:rPr>
          <w:rFonts w:ascii="Comic Sans MS" w:eastAsia="Times New Roman" w:hAnsi="Comic Sans MS" w:cs="Arial"/>
          <w:b/>
          <w:bCs/>
          <w:i/>
          <w:color w:val="0070C0"/>
          <w:sz w:val="28"/>
          <w:szCs w:val="28"/>
          <w:u w:val="single"/>
          <w:bdr w:val="none" w:sz="0" w:space="0" w:color="auto" w:frame="1"/>
          <w:lang w:eastAsia="cs-CZ"/>
        </w:rPr>
        <w:t>Co je to úrok</w:t>
      </w:r>
      <w:r w:rsidRPr="004F3453">
        <w:rPr>
          <w:rFonts w:ascii="Comic Sans MS" w:eastAsia="Times New Roman" w:hAnsi="Comic Sans MS" w:cs="Arial"/>
          <w:b/>
          <w:bCs/>
          <w:i/>
          <w:color w:val="0070C0"/>
          <w:sz w:val="28"/>
          <w:szCs w:val="28"/>
          <w:u w:val="single"/>
          <w:lang w:eastAsia="cs-CZ"/>
        </w:rPr>
        <w:t> </w:t>
      </w:r>
    </w:p>
    <w:p w:rsidR="004F345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Představte si, že váš bohatý strýček Vik vám půjčí dva miliony korun. Tyto dva miliony můžete </w:t>
      </w:r>
      <w:proofErr w:type="gramStart"/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využít jak</w:t>
      </w:r>
      <w:proofErr w:type="gramEnd"/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chcete, ale do roku musíte strýčkovi Vikovi vrátit 2 200 000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č, tj. o 10 % více. Pokud to nestihnete do jednoho roku, bude se každý další rok dlužná částka zvyšovat o dalších 10 %. Na tomto jednoduchém případě si ilustrujeme základní pojmy:</w:t>
      </w:r>
    </w:p>
    <w:p w:rsidR="004F3453" w:rsidRPr="004F345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Pr="004F3453" w:rsidRDefault="004F3453" w:rsidP="004F3453">
      <w:pPr>
        <w:numPr>
          <w:ilvl w:val="0"/>
          <w:numId w:val="1"/>
        </w:numPr>
        <w:spacing w:after="0" w:line="240" w:lineRule="auto"/>
        <w:ind w:left="14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Strýček vik se nazývá </w:t>
      </w:r>
      <w:r w:rsidRPr="004F345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věřitel</w:t>
      </w:r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Věřitel půjčuje peníze a věří, že je dostane zpátky.</w:t>
      </w:r>
    </w:p>
    <w:p w:rsidR="004F3453" w:rsidRPr="004F3453" w:rsidRDefault="004F3453" w:rsidP="004F3453">
      <w:pPr>
        <w:numPr>
          <w:ilvl w:val="0"/>
          <w:numId w:val="1"/>
        </w:numPr>
        <w:spacing w:after="0" w:line="240" w:lineRule="auto"/>
        <w:ind w:left="14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 jste se stal </w:t>
      </w:r>
      <w:r w:rsidRPr="004F345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dlužníkem</w:t>
      </w:r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Dlužíte peníze strýčkovi Vikovi a doufáte, že je dokážete včas splatit.</w:t>
      </w:r>
    </w:p>
    <w:p w:rsidR="004F3453" w:rsidRPr="004F3453" w:rsidRDefault="004F3453" w:rsidP="004F3453">
      <w:pPr>
        <w:numPr>
          <w:ilvl w:val="0"/>
          <w:numId w:val="1"/>
        </w:numPr>
        <w:spacing w:after="0" w:line="240" w:lineRule="auto"/>
        <w:ind w:left="14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F345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Dlužná částka</w:t>
      </w:r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(nebo též </w:t>
      </w:r>
      <w:r w:rsidRPr="004F345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jistina</w:t>
      </w:r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je hodnota peněz, které věřitel půjčil dlužníkovi. Dlužná částka se může v průběhu času snižovat i zvyšovat. V příběhu o strýčkovi Vikovi jsou to ty dva miliony.</w:t>
      </w:r>
    </w:p>
    <w:p w:rsidR="004F3453" w:rsidRPr="004F3453" w:rsidRDefault="004F3453" w:rsidP="004F3453">
      <w:pPr>
        <w:numPr>
          <w:ilvl w:val="0"/>
          <w:numId w:val="1"/>
        </w:numPr>
        <w:spacing w:after="0" w:line="240" w:lineRule="auto"/>
        <w:ind w:left="14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F345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Úrok</w:t>
      </w:r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částka, kterou dostane strýček Vik navíc. Pokud stihnete peníze do jednoho roku, úrok bude 200 000 korun.</w:t>
      </w:r>
    </w:p>
    <w:p w:rsidR="004F3453" w:rsidRPr="004F3453" w:rsidRDefault="004F3453" w:rsidP="004F3453">
      <w:pPr>
        <w:numPr>
          <w:ilvl w:val="0"/>
          <w:numId w:val="1"/>
        </w:numPr>
        <w:spacing w:after="0" w:line="240" w:lineRule="auto"/>
        <w:ind w:left="14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F345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Úroková míra</w:t>
      </w:r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(nebo též úroková sazba) je obvykle </w:t>
      </w:r>
      <w:r w:rsidRPr="004F345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procentuální</w:t>
      </w:r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vyjádření toho, jak moc v průběhu času narůstá dlužná částka. Strýček Vik stanovil desetiprocentní úrokovou míru.</w:t>
      </w:r>
    </w:p>
    <w:p w:rsidR="004F3453" w:rsidRPr="004F3453" w:rsidRDefault="004F3453" w:rsidP="004F3453">
      <w:pPr>
        <w:numPr>
          <w:ilvl w:val="0"/>
          <w:numId w:val="1"/>
        </w:numPr>
        <w:spacing w:after="0" w:line="240" w:lineRule="auto"/>
        <w:ind w:left="14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F345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Časový úsek</w:t>
      </w:r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nám rozhoduje, jak často se bude zvyšovat úrok. Často to bývá rok, ale může být i nižší, například měsíc nebo čtvrt roku. Strýček Vik byl celkem hodný a časový úsek nastavil na jeden rok.</w:t>
      </w:r>
    </w:p>
    <w:p w:rsidR="004F3453" w:rsidRDefault="004F3453" w:rsidP="004F3453">
      <w:pPr>
        <w:spacing w:beforeAutospacing="1" w:after="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4F3453">
        <w:rPr>
          <w:rFonts w:ascii="Comic Sans MS" w:eastAsia="Times New Roman" w:hAnsi="Comic Sans MS" w:cs="Arial"/>
          <w:b/>
          <w:bCs/>
          <w:i/>
          <w:color w:val="0070C0"/>
          <w:sz w:val="28"/>
          <w:szCs w:val="28"/>
          <w:u w:val="single"/>
          <w:bdr w:val="none" w:sz="0" w:space="0" w:color="auto" w:frame="1"/>
          <w:lang w:eastAsia="cs-CZ"/>
        </w:rPr>
        <w:t>Jak vypočítat úrok</w:t>
      </w:r>
      <w:r w:rsidRPr="004F3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4F3453" w:rsidRDefault="00BC71D7" w:rsidP="004F3453">
      <w:pPr>
        <w:spacing w:beforeAutospacing="1" w:after="0" w:afterAutospacing="1" w:line="240" w:lineRule="auto"/>
        <w:ind w:firstLine="708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945515</wp:posOffset>
            </wp:positionV>
            <wp:extent cx="3171825" cy="628650"/>
            <wp:effectExtent l="19050" t="19050" r="28575" b="190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28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453"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Nejčastěji asi budete chtít spočítat velikost úroku a porovnat, která půjčka (nebo naopak spoření) je pro vás nejlepší. Co k tomu budete potřebovat? Musíte znát: dlužnou částku, úrokovou míru a časový úsek, za který se přepočítává úrok. Nejprve si spočítáme, jaký bude úrok po jednom časovém úseku (pokud to je rok, tak po roce):</w:t>
      </w:r>
    </w:p>
    <w:p w:rsidR="00BC71D7" w:rsidRPr="004F3453" w:rsidRDefault="00BC71D7" w:rsidP="004F3453">
      <w:pPr>
        <w:spacing w:beforeAutospacing="1" w:after="0" w:afterAutospacing="1" w:line="240" w:lineRule="auto"/>
        <w:ind w:firstLine="708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C71D7" w:rsidRDefault="00BC71D7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C71D7" w:rsidRDefault="00BC71D7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Default="00BC71D7" w:rsidP="00BC71D7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664210</wp:posOffset>
            </wp:positionV>
            <wp:extent cx="5229225" cy="619125"/>
            <wp:effectExtent l="19050" t="19050" r="28575" b="2857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191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453"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Úrokovou míru zapisujeme v procentech. Tímto zjistíme, jaký je úrok po jednom roce, po jednom přepočtu. Spočítáme si to u strýčka Vika. Dlužná částka jsou dva miliony, úroková míra je 10 %.</w:t>
      </w:r>
    </w:p>
    <w:p w:rsidR="00BC71D7" w:rsidRDefault="00BC71D7" w:rsidP="00BC71D7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Pr="004F3453" w:rsidRDefault="004F3453" w:rsidP="005F7A33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Default="00BC71D7" w:rsidP="00BC71D7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900430</wp:posOffset>
            </wp:positionV>
            <wp:extent cx="5210175" cy="628650"/>
            <wp:effectExtent l="19050" t="19050" r="28575" b="1905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28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453"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Tento úrok se obvykle přičte k dlužné částce a za rok, při příštím přepočtu, bude úrok o to vyšší. Po roce tak dlužíte dva miliony a dvě stě tisíc k tomu (2 200 000). Problémem je, že pokud nebudete nic splácat, další rok se bude počítat dluh z této částky, nikoli z původní částky dva miliony. Za dva roky tak budete mít úrok:</w:t>
      </w:r>
    </w:p>
    <w:p w:rsidR="00BC71D7" w:rsidRPr="004F3453" w:rsidRDefault="00BC71D7" w:rsidP="00BC71D7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C71D7" w:rsidRDefault="00BC71D7" w:rsidP="004F3453">
      <w:pPr>
        <w:spacing w:line="240" w:lineRule="auto"/>
        <w:jc w:val="center"/>
        <w:textAlignment w:val="baseline"/>
        <w:rPr>
          <w:rFonts w:ascii="Arial" w:eastAsia="Arial Unicode MS" w:hAnsi="Arial" w:cs="Arial"/>
          <w:color w:val="000000"/>
          <w:sz w:val="24"/>
          <w:szCs w:val="24"/>
          <w:lang w:eastAsia="cs-CZ"/>
        </w:rPr>
      </w:pPr>
    </w:p>
    <w:p w:rsidR="00BC71D7" w:rsidRDefault="00BC71D7" w:rsidP="004F3453">
      <w:pPr>
        <w:spacing w:line="240" w:lineRule="auto"/>
        <w:jc w:val="center"/>
        <w:textAlignment w:val="baseline"/>
        <w:rPr>
          <w:rFonts w:ascii="Arial" w:eastAsia="Arial Unicode MS" w:hAnsi="Arial" w:cs="Arial"/>
          <w:color w:val="000000"/>
          <w:sz w:val="24"/>
          <w:szCs w:val="24"/>
          <w:lang w:eastAsia="cs-CZ"/>
        </w:rPr>
      </w:pPr>
    </w:p>
    <w:p w:rsidR="00BC71D7" w:rsidRDefault="00BC71D7" w:rsidP="004F3453">
      <w:pPr>
        <w:spacing w:line="240" w:lineRule="auto"/>
        <w:jc w:val="center"/>
        <w:textAlignment w:val="baseline"/>
        <w:rPr>
          <w:rFonts w:ascii="Arial" w:eastAsia="Arial Unicode MS" w:hAnsi="Arial" w:cs="Arial"/>
          <w:color w:val="000000"/>
          <w:sz w:val="24"/>
          <w:szCs w:val="24"/>
          <w:lang w:eastAsia="cs-CZ"/>
        </w:rPr>
      </w:pPr>
    </w:p>
    <w:p w:rsidR="004F3453" w:rsidRPr="004F3453" w:rsidRDefault="004F3453" w:rsidP="00BC71D7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F3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Zvýšila se tak dlužná částka, ale i úrok. Po dvou letech už strýčkovi Vikovi dlužíte 2 200 000 + 220 000 = 2 420 000 korun. Další úrok se bude opět počítat z této nové, vyšší částky a úrok bude zase o něco vyšší. Tím se dostáváme k pojmu složený úrok, což představuje částku, kterou zaplatíte navíc po několika zúročeních, tedy po několika letech, kdy se vám každoročně započítával další úrok.</w:t>
      </w:r>
    </w:p>
    <w:p w:rsidR="005F7A33" w:rsidRDefault="005F7A33"/>
    <w:p w:rsidR="004F3453" w:rsidRDefault="004F3453">
      <w:r>
        <w:t xml:space="preserve">Zdroj: </w:t>
      </w:r>
      <w:hyperlink r:id="rId10" w:history="1">
        <w:r w:rsidRPr="00D67F2C">
          <w:rPr>
            <w:rStyle w:val="Hypertextovodkaz"/>
          </w:rPr>
          <w:t>https://matematika.cz/uroky</w:t>
        </w:r>
      </w:hyperlink>
    </w:p>
    <w:p w:rsidR="004F3453" w:rsidRDefault="004F3453"/>
    <w:p w:rsidR="004F3453" w:rsidRPr="00F31CCC" w:rsidRDefault="004F3453" w:rsidP="004F3453">
      <w:pPr>
        <w:shd w:val="clear" w:color="auto" w:fill="FFFFFF"/>
        <w:spacing w:after="0" w:line="240" w:lineRule="auto"/>
        <w:textAlignment w:val="baseline"/>
        <w:outlineLvl w:val="0"/>
        <w:rPr>
          <w:rFonts w:ascii="Comic Sans MS" w:eastAsia="Times New Roman" w:hAnsi="Comic Sans MS" w:cs="Open Sans"/>
          <w:b/>
          <w:bCs/>
          <w:i/>
          <w:color w:val="CC0000"/>
          <w:kern w:val="36"/>
          <w:sz w:val="32"/>
          <w:szCs w:val="32"/>
          <w:u w:val="single"/>
          <w:lang w:eastAsia="cs-CZ"/>
        </w:rPr>
      </w:pPr>
      <w:r w:rsidRPr="00F31CCC">
        <w:rPr>
          <w:rFonts w:ascii="Comic Sans MS" w:eastAsia="Times New Roman" w:hAnsi="Comic Sans MS" w:cs="Open Sans"/>
          <w:b/>
          <w:bCs/>
          <w:i/>
          <w:color w:val="CC0000"/>
          <w:kern w:val="36"/>
          <w:sz w:val="32"/>
          <w:szCs w:val="32"/>
          <w:u w:val="single"/>
          <w:bdr w:val="none" w:sz="0" w:space="0" w:color="auto" w:frame="1"/>
          <w:lang w:eastAsia="cs-CZ"/>
        </w:rPr>
        <w:t>Složený úrok</w:t>
      </w:r>
    </w:p>
    <w:p w:rsidR="004F3453" w:rsidRDefault="00BB3F87" w:rsidP="00F31C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11" w:history="1">
        <w:r w:rsidR="004F3453" w:rsidRPr="00F31CCC">
          <w:rPr>
            <w:rFonts w:ascii="Arial" w:eastAsia="Times New Roman" w:hAnsi="Arial" w:cs="Arial"/>
            <w:color w:val="CC0000"/>
            <w:sz w:val="24"/>
            <w:szCs w:val="24"/>
            <w:u w:val="single"/>
            <w:lang w:eastAsia="cs-CZ"/>
          </w:rPr>
          <w:t>Úrok</w:t>
        </w:r>
      </w:hyperlink>
      <w:r w:rsidR="004F3453"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skládáme ve chvíli, kdy jej máme aplikovat vícekrát. Pokud tak máme dluh, který se úročí jednou ročně</w:t>
      </w:r>
      <w:r w:rsid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4F3453"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dlužíme pět let, bude dluh úročen pětkrát – mluvíme pak o složeném úroku.</w:t>
      </w:r>
    </w:p>
    <w:p w:rsidR="00F31CCC" w:rsidRPr="00F31CCC" w:rsidRDefault="00F31CCC" w:rsidP="00F31C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Default="004F3453" w:rsidP="00F31CCC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se dlužná částka úročí několikrát, hovoří se o složeném úroku. V předchozím vzorci jsme používali procenta, v následujícím už bude jednodušší převézt procenta na obyčejné desetinné číslo. To provedeme jednoduše, vydělíme procenta stovkou. Pokud jsme měli úrok 50 %, dostanete hodnotu 0,5, tedy jednu polovinu. Pokud byl úrok 7 %, dostanete číslo 0,07. Toto desetinné číslo budu značit písmenem „d“. Vzorec by mohl vypadat takto:</w:t>
      </w:r>
    </w:p>
    <w:p w:rsidR="00A95272" w:rsidRPr="00F31CCC" w:rsidRDefault="00A95272" w:rsidP="00F31CCC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C17B8" w:rsidRDefault="00A95272" w:rsidP="00A95272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676400" cy="666750"/>
            <wp:effectExtent l="19050" t="19050" r="19050" b="1905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5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tímto číslem </w:t>
      </w:r>
      <w:hyperlink r:id="rId13" w:history="1">
        <w:r w:rsidRPr="00F31CCC">
          <w:rPr>
            <w:rFonts w:ascii="Arial" w:eastAsia="Times New Roman" w:hAnsi="Arial" w:cs="Arial"/>
            <w:color w:val="CC0000"/>
            <w:sz w:val="24"/>
            <w:szCs w:val="24"/>
            <w:u w:val="single"/>
            <w:lang w:eastAsia="cs-CZ"/>
          </w:rPr>
          <w:t>vynásobíme</w:t>
        </w:r>
      </w:hyperlink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dlužnou částku, získáme přímo úrok. Předpokládejme, že nám strýček Vik půjčil dva miliony korun s ročním úrokem 10 %. V desetinném čísle 0,1. Po jednom roku tak máme úrok 2 000 </w:t>
      </w:r>
      <w:proofErr w:type="spellStart"/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000</w:t>
      </w:r>
      <w:proofErr w:type="spellEnd"/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· 0, 1 = 200 000. Tedy zaplatíme o 200 000 více, než jsme si půjčili. Jaký úrok bude v dalším roce? Musíme vzít původní částku, přičíst první úrok a opět vynásobit 0,1:</w:t>
      </w:r>
    </w:p>
    <w:p w:rsidR="00A95272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95272" w:rsidRPr="00F31CCC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147955</wp:posOffset>
            </wp:positionV>
            <wp:extent cx="3086100" cy="371475"/>
            <wp:effectExtent l="19050" t="19050" r="19050" b="28575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14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Pr="00F31CCC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O další rok později už bychom na úrocích zaplatili 220 000, tedy více než v prvním roce.</w:t>
      </w:r>
    </w:p>
    <w:p w:rsidR="004F345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chceme získat přímo dlužnou částku, ne jen úrok, stačí k úrokové míře ve formě desetinného čísla přičíst jedničku a vynásobit s tímto výrazem dlužnou částku:</w:t>
      </w:r>
    </w:p>
    <w:p w:rsidR="00EC17B8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199390</wp:posOffset>
            </wp:positionV>
            <wp:extent cx="2228850" cy="304800"/>
            <wp:effectExtent l="19050" t="19050" r="19050" b="19050"/>
            <wp:wrapSquare wrapText="bothSides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4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7B8" w:rsidRDefault="00EC17B8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95272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95272" w:rsidRPr="00F31CCC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prvním roce bychom tak dlužili 2 200 000. Pokud chceme spočítat dlužnou částku po třech letech, vynásobíme to 1,1 několikrát za sebou:</w:t>
      </w:r>
    </w:p>
    <w:p w:rsidR="00A95272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114300</wp:posOffset>
            </wp:positionV>
            <wp:extent cx="3314700" cy="333375"/>
            <wp:effectExtent l="19050" t="19050" r="19050" b="28575"/>
            <wp:wrapSquare wrapText="bothSides"/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33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272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95272" w:rsidRPr="00F31CCC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 toho už se nám pomalu rýsuje vzorec, protože u násobení nezáleží na pořadí, ani na závorkách, takže výraz můžeme přepsat takto:</w:t>
      </w:r>
    </w:p>
    <w:p w:rsidR="00A95272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123825</wp:posOffset>
            </wp:positionV>
            <wp:extent cx="2209800" cy="266700"/>
            <wp:effectExtent l="19050" t="19050" r="19050" b="19050"/>
            <wp:wrapSquare wrapText="bothSides"/>
            <wp:docPr id="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67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272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95272" w:rsidRPr="00F31CCC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to už jen přepíšeme pomocí </w:t>
      </w:r>
      <w:hyperlink r:id="rId18" w:history="1">
        <w:r w:rsidRPr="00F31CCC">
          <w:rPr>
            <w:rFonts w:ascii="Arial" w:eastAsia="Times New Roman" w:hAnsi="Arial" w:cs="Arial"/>
            <w:color w:val="CC0000"/>
            <w:sz w:val="24"/>
            <w:szCs w:val="24"/>
            <w:u w:val="single"/>
            <w:lang w:eastAsia="cs-CZ"/>
          </w:rPr>
          <w:t>mocnin</w:t>
        </w:r>
      </w:hyperlink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A95272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99060</wp:posOffset>
            </wp:positionV>
            <wp:extent cx="1352550" cy="371475"/>
            <wp:effectExtent l="19050" t="19050" r="19050" b="28575"/>
            <wp:wrapSquare wrapText="bothSides"/>
            <wp:docPr id="9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14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272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95272" w:rsidRPr="00F31CCC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95272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Pr="00F31CCC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 tohoto už můžeme hladce odvodit obecný vzorec.</w:t>
      </w:r>
    </w:p>
    <w:p w:rsidR="004F3453" w:rsidRPr="00A95272" w:rsidRDefault="004F3453" w:rsidP="004F3453">
      <w:pPr>
        <w:spacing w:beforeAutospacing="1" w:after="0" w:afterAutospacing="1" w:line="240" w:lineRule="auto"/>
        <w:textAlignment w:val="baseline"/>
        <w:outlineLvl w:val="1"/>
        <w:rPr>
          <w:rFonts w:ascii="Comic Sans MS" w:eastAsia="Times New Roman" w:hAnsi="Comic Sans MS" w:cs="Arial"/>
          <w:b/>
          <w:bCs/>
          <w:i/>
          <w:color w:val="0070C0"/>
          <w:sz w:val="24"/>
          <w:szCs w:val="24"/>
          <w:u w:val="single"/>
          <w:lang w:eastAsia="cs-CZ"/>
        </w:rPr>
      </w:pPr>
      <w:r w:rsidRPr="00A95272">
        <w:rPr>
          <w:rFonts w:ascii="Comic Sans MS" w:eastAsia="Times New Roman" w:hAnsi="Comic Sans MS" w:cs="Arial"/>
          <w:b/>
          <w:bCs/>
          <w:i/>
          <w:color w:val="0070C0"/>
          <w:sz w:val="24"/>
          <w:szCs w:val="24"/>
          <w:u w:val="single"/>
          <w:bdr w:val="none" w:sz="0" w:space="0" w:color="auto" w:frame="1"/>
          <w:lang w:eastAsia="cs-CZ"/>
        </w:rPr>
        <w:t>Finální vzorec se složeným úrokem</w:t>
      </w:r>
    </w:p>
    <w:p w:rsidR="004F3453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292735</wp:posOffset>
            </wp:positionV>
            <wp:extent cx="1514475" cy="314325"/>
            <wp:effectExtent l="19050" t="19050" r="28575" b="28575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453"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Následuje vzorec celého složeného úroku, dále ho vysvětlím:</w:t>
      </w:r>
    </w:p>
    <w:p w:rsidR="00A95272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95272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95272" w:rsidRPr="00F31CCC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Písmeno „j“ představuje </w:t>
      </w:r>
      <w:r w:rsidRPr="00A9527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jistinu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tedy dlužnou částku. Dolní index pak udává, kolik zúročení už má za sebou. Symbol </w:t>
      </w:r>
      <w:r w:rsidRPr="00F31CC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j</w:t>
      </w:r>
      <w:r w:rsidRPr="00F31CCC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cs-CZ"/>
        </w:rPr>
        <w:t>0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tak značí částku, která ještě neprošla žádným zúročením – je to částka, kterou jsme na začátku dostali (dva miliony od strýčka Vika). Písmeno „t“ označuje počet zúročení, které chceme počítat. Pokud chceme počítat na deset let dopředu, bude platit </w:t>
      </w:r>
      <w:r w:rsidRPr="00F31CC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10. Symbol </w:t>
      </w:r>
      <w:proofErr w:type="spellStart"/>
      <w:r w:rsidRPr="00F31CC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j</w:t>
      </w:r>
      <w:r w:rsidRPr="00A95272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cs-CZ"/>
        </w:rPr>
        <w:t>t</w:t>
      </w:r>
      <w:proofErr w:type="spellEnd"/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pak značí výsledný úrok, který zaplatíme po </w:t>
      </w:r>
      <w:r w:rsidRPr="00F31CC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zúročeních. Písmeno „d“ značí úrokovou míru v desetinném zápise (viz výše).</w:t>
      </w:r>
    </w:p>
    <w:p w:rsidR="00A95272" w:rsidRPr="00F31CCC" w:rsidRDefault="00A95272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Zkusíme si spočítat, jaký úrok bychom zaplatili, pokud celou částku vrátili strýčkovi Vikovi až za 15 let:</w:t>
      </w:r>
    </w:p>
    <w:p w:rsid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41275</wp:posOffset>
            </wp:positionV>
            <wp:extent cx="4410075" cy="342900"/>
            <wp:effectExtent l="19050" t="19050" r="28575" b="1905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29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A33" w:rsidRPr="00F31CCC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Pr="00F31CCC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Upozorňuji, že toto není přímo úrok, ale výsledná dlužná částka. Pokud bychom chtěli pouze úrok, museli bychom odečíst původní dlužnou částku, tedy ještě minus dva miliony: 6 354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496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5F7A33" w:rsidRDefault="005F7A33" w:rsidP="004F3453">
      <w:pPr>
        <w:spacing w:beforeAutospacing="1" w:after="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4F3453" w:rsidRPr="005F7A33" w:rsidRDefault="004F3453" w:rsidP="004F3453">
      <w:pPr>
        <w:spacing w:beforeAutospacing="1" w:after="0" w:afterAutospacing="1" w:line="240" w:lineRule="auto"/>
        <w:textAlignment w:val="baseline"/>
        <w:outlineLvl w:val="1"/>
        <w:rPr>
          <w:rFonts w:ascii="Comic Sans MS" w:eastAsia="Times New Roman" w:hAnsi="Comic Sans MS" w:cs="Arial"/>
          <w:b/>
          <w:bCs/>
          <w:i/>
          <w:color w:val="0070C0"/>
          <w:sz w:val="28"/>
          <w:szCs w:val="28"/>
          <w:u w:val="single"/>
          <w:lang w:eastAsia="cs-CZ"/>
        </w:rPr>
      </w:pPr>
      <w:r w:rsidRPr="005F7A33">
        <w:rPr>
          <w:rFonts w:ascii="Comic Sans MS" w:eastAsia="Times New Roman" w:hAnsi="Comic Sans MS" w:cs="Arial"/>
          <w:b/>
          <w:bCs/>
          <w:i/>
          <w:color w:val="0070C0"/>
          <w:sz w:val="28"/>
          <w:szCs w:val="28"/>
          <w:u w:val="single"/>
          <w:bdr w:val="none" w:sz="0" w:space="0" w:color="auto" w:frame="1"/>
          <w:lang w:eastAsia="cs-CZ"/>
        </w:rPr>
        <w:lastRenderedPageBreak/>
        <w:t>Příklad</w:t>
      </w:r>
    </w:p>
    <w:p w:rsidR="004F3453" w:rsidRPr="00F31CCC" w:rsidRDefault="004F3453" w:rsidP="005F7A33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Pavel si chtěl koupit nové auto, samozřejmě na něj neměl, takže si půjčil půl milionu, 500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000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Úroková míra byla 8 % a úročilo se vždy každý rok. Pavel hodně rozhazoval, takže za první rok splatil pouze dvacet tisíc, 20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000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Dlužná částka se snížila na 480 000. Jenže na přelomu roku se úročilo a dopadlo to tak, že úrok se vypočítal na 480 000 · 0, 08 = 38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400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Na Nový rok tak už Pavel dlužil 480 000 + 38 400 = 518 400. To je více než na začátku.</w:t>
      </w:r>
    </w:p>
    <w:p w:rsidR="004F3453" w:rsidRDefault="004F3453" w:rsidP="005F7A33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Pavla to nijak neznepokojilo a znovu splatil pouze 20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000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Dlužil tak 498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400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Po zúročení to naskočilo na 538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272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Dlužná částka byla vyšší než loni i než předloni. Pavlovi to nedošlo a i nadále splácel pouze 20 000 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Kč </w:t>
      </w: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ročně. Splácel to do konce života a stejně umřel s mnohamilionovým dluhem. Takhle radši ne.</w:t>
      </w:r>
    </w:p>
    <w:p w:rsidR="00F31CCC" w:rsidRDefault="00F31CCC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31CCC" w:rsidRPr="00F31CCC" w:rsidRDefault="00F31CCC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Zdroj: </w:t>
      </w:r>
      <w:hyperlink r:id="rId22" w:history="1">
        <w:r w:rsidRPr="00F31CC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https://matematika.</w:t>
        </w:r>
        <w:r w:rsidRPr="00F31CC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c</w:t>
        </w:r>
        <w:r w:rsidRPr="00F31CC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z/slozeny-urok</w:t>
        </w:r>
      </w:hyperlink>
    </w:p>
    <w:p w:rsidR="004F3453" w:rsidRPr="00F31CCC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1C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F3453" w:rsidRDefault="004F3453"/>
    <w:p w:rsidR="001D4D7F" w:rsidRDefault="001D4D7F"/>
    <w:p w:rsidR="004F3453" w:rsidRPr="005F7A33" w:rsidRDefault="004F3453" w:rsidP="004F3453">
      <w:pPr>
        <w:shd w:val="clear" w:color="auto" w:fill="FFFFFF"/>
        <w:spacing w:after="0" w:line="240" w:lineRule="auto"/>
        <w:textAlignment w:val="baseline"/>
        <w:outlineLvl w:val="0"/>
        <w:rPr>
          <w:rFonts w:ascii="Comic Sans MS" w:eastAsia="Times New Roman" w:hAnsi="Comic Sans MS" w:cs="Arial"/>
          <w:b/>
          <w:bCs/>
          <w:i/>
          <w:color w:val="CC0000"/>
          <w:kern w:val="36"/>
          <w:sz w:val="32"/>
          <w:szCs w:val="32"/>
          <w:u w:val="single"/>
          <w:lang w:eastAsia="cs-CZ"/>
        </w:rPr>
      </w:pPr>
      <w:r w:rsidRPr="005F7A33">
        <w:rPr>
          <w:rFonts w:ascii="Comic Sans MS" w:eastAsia="Times New Roman" w:hAnsi="Comic Sans MS" w:cs="Arial"/>
          <w:b/>
          <w:bCs/>
          <w:i/>
          <w:color w:val="CC0000"/>
          <w:kern w:val="36"/>
          <w:sz w:val="32"/>
          <w:szCs w:val="32"/>
          <w:u w:val="single"/>
          <w:bdr w:val="none" w:sz="0" w:space="0" w:color="auto" w:frame="1"/>
          <w:lang w:eastAsia="cs-CZ"/>
        </w:rPr>
        <w:t>Postupné úročení</w:t>
      </w:r>
    </w:p>
    <w:p w:rsidR="004F3453" w:rsidRPr="005F7A3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praxi se často stává, že banky uvádí roční úrokovou míru, kterou ale aplikují po měsících. Jak si spočítat, jaká je měsíční úroková míra?</w:t>
      </w:r>
    </w:p>
    <w:p w:rsid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7A3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Earth</w:t>
      </w:r>
      <w:proofErr w:type="spellEnd"/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banka se chlubí tím, že má jeden z nejlepších spořicích účtů s očním </w:t>
      </w:r>
      <w:hyperlink r:id="rId23" w:history="1">
        <w:r w:rsidRPr="005F7A33">
          <w:rPr>
            <w:rFonts w:ascii="Arial" w:eastAsia="Times New Roman" w:hAnsi="Arial" w:cs="Arial"/>
            <w:color w:val="CC0000"/>
            <w:sz w:val="24"/>
            <w:szCs w:val="24"/>
            <w:u w:val="single"/>
            <w:lang w:eastAsia="cs-CZ"/>
          </w:rPr>
          <w:t>úrokem</w:t>
        </w:r>
      </w:hyperlink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F345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2 %. Přestože uvádí roční úrokovou míru, úroky připisuje každý měsíc, tedy za rok úrok připíše celkem 12krát. Jak vysoká je měsíční úrok</w:t>
      </w:r>
      <w:r w:rsid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</w:t>
      </w:r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 míra? Tedy kolik peněz se nám připíše každý měsíc?</w:t>
      </w:r>
    </w:p>
    <w:p w:rsidR="001D4D7F" w:rsidRPr="005F7A33" w:rsidRDefault="001D4D7F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Vzorec můžeme odvodit z vzorce pro </w:t>
      </w:r>
      <w:hyperlink r:id="rId24" w:history="1">
        <w:r w:rsidRPr="005F7A33">
          <w:rPr>
            <w:rFonts w:ascii="Arial" w:eastAsia="Times New Roman" w:hAnsi="Arial" w:cs="Arial"/>
            <w:color w:val="CC0000"/>
            <w:sz w:val="24"/>
            <w:szCs w:val="24"/>
            <w:u w:val="single"/>
            <w:lang w:eastAsia="cs-CZ"/>
          </w:rPr>
          <w:t>složený úrok</w:t>
        </w:r>
      </w:hyperlink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Jako první si ale spočítáme, kolik peněz budeme mít na </w:t>
      </w:r>
      <w:proofErr w:type="spellStart"/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účtě</w:t>
      </w:r>
      <w:proofErr w:type="spellEnd"/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právě za jeden rok. Dejme tomu, že jsme na účet vložili 100 000 Kč. Pak za rok budeme mít +2 %, což dělá</w:t>
      </w:r>
    </w:p>
    <w:p w:rsid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92075</wp:posOffset>
            </wp:positionV>
            <wp:extent cx="2047875" cy="266700"/>
            <wp:effectExtent l="19050" t="19050" r="28575" b="1905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67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A33" w:rsidRP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Pr="005F7A3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 rok budeme mít na </w:t>
      </w:r>
      <w:proofErr w:type="spellStart"/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účtě</w:t>
      </w:r>
      <w:proofErr w:type="spellEnd"/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102 000, získali jsme dva tisíce. Z </w:t>
      </w:r>
      <w:hyperlink r:id="rId26" w:history="1">
        <w:r w:rsidRPr="005F7A33">
          <w:rPr>
            <w:rFonts w:ascii="Arial" w:eastAsia="Times New Roman" w:hAnsi="Arial" w:cs="Arial"/>
            <w:color w:val="CC0000"/>
            <w:sz w:val="24"/>
            <w:szCs w:val="24"/>
            <w:u w:val="single"/>
            <w:lang w:eastAsia="cs-CZ"/>
          </w:rPr>
          <w:t>vzorce pro složený úrok</w:t>
        </w:r>
      </w:hyperlink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víme, že musí platit</w:t>
      </w:r>
    </w:p>
    <w:p w:rsidR="005F7A33" w:rsidRDefault="005F7A33" w:rsidP="004F3453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34925</wp:posOffset>
            </wp:positionV>
            <wp:extent cx="1419225" cy="304800"/>
            <wp:effectExtent l="19050" t="19050" r="28575" b="19050"/>
            <wp:wrapSquare wrapText="bothSides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04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A33" w:rsidRDefault="005F7A33" w:rsidP="004F3453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kde </w:t>
      </w:r>
      <w:r w:rsidRPr="005F7A33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j</w:t>
      </w:r>
      <w:r w:rsidRPr="005F7A3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cs-CZ"/>
        </w:rPr>
        <w:t>0</w:t>
      </w:r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je počáteční vklad, </w:t>
      </w:r>
      <w:r w:rsidRPr="005F7A33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</w:t>
      </w:r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je úroková míra a </w:t>
      </w:r>
      <w:r w:rsidRPr="005F7A33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</w:t>
      </w:r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označuje, kolikrát jsme danou částku úročili. V tomto vzorci je neznámá právě písmeno </w:t>
      </w:r>
      <w:r w:rsidRPr="005F7A33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</w:t>
      </w:r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– my známe jen roční úrokovou sazbu, ale hledáme měsíční. Úročili jsme celkem 12krát, takže </w:t>
      </w:r>
      <w:r w:rsidRPr="005F7A33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</w:t>
      </w:r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= 12. Přitom víme, že </w:t>
      </w:r>
      <w:proofErr w:type="spellStart"/>
      <w:r w:rsidRPr="005F7A33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j</w:t>
      </w:r>
      <w:r w:rsidRPr="005F7A33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cs-CZ"/>
        </w:rPr>
        <w:t>t</w:t>
      </w:r>
      <w:proofErr w:type="spellEnd"/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je rovno 102 000, po roce jsme naspořili 102 000 korun, to už jsme si spočítali z roční úrokové míry. Získáme tak rovnici:</w:t>
      </w:r>
    </w:p>
    <w:p w:rsidR="001D4D7F" w:rsidRDefault="001D4D7F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120650</wp:posOffset>
            </wp:positionV>
            <wp:extent cx="3638550" cy="238125"/>
            <wp:effectExtent l="19050" t="19050" r="19050" b="28575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81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7A33" w:rsidRP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3453" w:rsidRDefault="004F345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Vidíme, že hodnota (1 + </w:t>
      </w:r>
      <w:r w:rsidRPr="005F7A33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</w:t>
      </w:r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  <w:r w:rsidRPr="005F7A3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12</w:t>
      </w:r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se musí rovnat hodnotě 1,02. Spočítáme-li dvanáctou odmocninu z hodnoty 1,02, získáme právě hodnotu 1 + </w:t>
      </w:r>
      <w:proofErr w:type="spellStart"/>
      <w:r w:rsidRPr="005F7A33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</w:t>
      </w:r>
      <w:proofErr w:type="spellEnd"/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Dvanáctá odmocnina má přibližně hodnotu 1,0016515813. Pokud každý měsíc budeme částku úročit mírou 0.0016515813, získáme celkově </w:t>
      </w:r>
      <w:hyperlink r:id="rId29" w:history="1">
        <w:r w:rsidRPr="005F7A33">
          <w:rPr>
            <w:rFonts w:ascii="Arial" w:eastAsia="Times New Roman" w:hAnsi="Arial" w:cs="Arial"/>
            <w:color w:val="CC0000"/>
            <w:sz w:val="24"/>
            <w:szCs w:val="24"/>
            <w:u w:val="single"/>
            <w:lang w:eastAsia="cs-CZ"/>
          </w:rPr>
          <w:t>složený úrok</w:t>
        </w:r>
      </w:hyperlink>
      <w:r w:rsidRPr="005F7A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0,02 s výslednou částkou 102 000 korun.</w:t>
      </w:r>
    </w:p>
    <w:p w:rsid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7A33" w:rsidRPr="005F7A33" w:rsidRDefault="005F7A33" w:rsidP="004F34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Zdroj: </w:t>
      </w:r>
      <w:hyperlink r:id="rId30" w:history="1">
        <w:r w:rsidRPr="005F7A33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https://matematika.cz/postupne-uroceni</w:t>
        </w:r>
      </w:hyperlink>
    </w:p>
    <w:p w:rsidR="004F3453" w:rsidRDefault="004F3453"/>
    <w:sectPr w:rsidR="004F3453" w:rsidSect="004778D4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33" w:rsidRDefault="005F7A33" w:rsidP="005F7A33">
      <w:pPr>
        <w:spacing w:after="0" w:line="240" w:lineRule="auto"/>
      </w:pPr>
      <w:r>
        <w:separator/>
      </w:r>
    </w:p>
  </w:endnote>
  <w:endnote w:type="continuationSeparator" w:id="1">
    <w:p w:rsidR="005F7A33" w:rsidRDefault="005F7A33" w:rsidP="005F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33" w:rsidRDefault="005F7A33" w:rsidP="005F7A33">
      <w:pPr>
        <w:spacing w:after="0" w:line="240" w:lineRule="auto"/>
      </w:pPr>
      <w:r>
        <w:separator/>
      </w:r>
    </w:p>
  </w:footnote>
  <w:footnote w:type="continuationSeparator" w:id="1">
    <w:p w:rsidR="005F7A33" w:rsidRDefault="005F7A33" w:rsidP="005F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33" w:rsidRDefault="005F7A33" w:rsidP="005F7A33">
    <w:pPr>
      <w:pStyle w:val="Zhlav"/>
      <w:jc w:val="right"/>
    </w:pPr>
    <w:r>
      <w:t>MATEMATIKA 7</w:t>
    </w:r>
  </w:p>
  <w:p w:rsidR="005F7A33" w:rsidRDefault="005F7A3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1619D"/>
    <w:multiLevelType w:val="multilevel"/>
    <w:tmpl w:val="E83A7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453"/>
    <w:rsid w:val="001D4D7F"/>
    <w:rsid w:val="003E404F"/>
    <w:rsid w:val="004778D4"/>
    <w:rsid w:val="004F3453"/>
    <w:rsid w:val="005F7A33"/>
    <w:rsid w:val="00A95272"/>
    <w:rsid w:val="00BB3F87"/>
    <w:rsid w:val="00BC71D7"/>
    <w:rsid w:val="00EC17B8"/>
    <w:rsid w:val="00F3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8D4"/>
  </w:style>
  <w:style w:type="paragraph" w:styleId="Nadpis1">
    <w:name w:val="heading 1"/>
    <w:basedOn w:val="Normln"/>
    <w:link w:val="Nadpis1Char"/>
    <w:uiPriority w:val="9"/>
    <w:qFormat/>
    <w:rsid w:val="004F3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F3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4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F34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F345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F3453"/>
    <w:rPr>
      <w:color w:val="0000FF"/>
      <w:u w:val="single"/>
    </w:rPr>
  </w:style>
  <w:style w:type="paragraph" w:customStyle="1" w:styleId="perex">
    <w:name w:val="perex"/>
    <w:basedOn w:val="Normln"/>
    <w:rsid w:val="004F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text">
    <w:name w:val="mtext"/>
    <w:basedOn w:val="Standardnpsmoodstavce"/>
    <w:rsid w:val="004F3453"/>
  </w:style>
  <w:style w:type="character" w:customStyle="1" w:styleId="mo">
    <w:name w:val="mo"/>
    <w:basedOn w:val="Standardnpsmoodstavce"/>
    <w:rsid w:val="004F3453"/>
  </w:style>
  <w:style w:type="character" w:customStyle="1" w:styleId="mn">
    <w:name w:val="mn"/>
    <w:basedOn w:val="Standardnpsmoodstavce"/>
    <w:rsid w:val="004F3453"/>
  </w:style>
  <w:style w:type="character" w:customStyle="1" w:styleId="mjxassistivemathml">
    <w:name w:val="mjx_assistive_mathml"/>
    <w:basedOn w:val="Standardnpsmoodstavce"/>
    <w:rsid w:val="004F3453"/>
  </w:style>
  <w:style w:type="character" w:customStyle="1" w:styleId="inline-math">
    <w:name w:val="inline-math"/>
    <w:basedOn w:val="Standardnpsmoodstavce"/>
    <w:rsid w:val="004F3453"/>
  </w:style>
  <w:style w:type="character" w:customStyle="1" w:styleId="mi">
    <w:name w:val="mi"/>
    <w:basedOn w:val="Standardnpsmoodstavce"/>
    <w:rsid w:val="004F3453"/>
  </w:style>
  <w:style w:type="paragraph" w:styleId="Textbubliny">
    <w:name w:val="Balloon Text"/>
    <w:basedOn w:val="Normln"/>
    <w:link w:val="TextbublinyChar"/>
    <w:uiPriority w:val="99"/>
    <w:semiHidden/>
    <w:unhideWhenUsed/>
    <w:rsid w:val="00BC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1D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95272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F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A33"/>
  </w:style>
  <w:style w:type="paragraph" w:styleId="Zpat">
    <w:name w:val="footer"/>
    <w:basedOn w:val="Normln"/>
    <w:link w:val="ZpatChar"/>
    <w:uiPriority w:val="99"/>
    <w:semiHidden/>
    <w:unhideWhenUsed/>
    <w:rsid w:val="005F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7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05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1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79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15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312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610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34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47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19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2400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88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92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40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07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44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7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55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37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3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78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32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9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46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8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131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61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tematika.cz/nasobeni-na-papire" TargetMode="External"/><Relationship Id="rId18" Type="http://schemas.openxmlformats.org/officeDocument/2006/relationships/hyperlink" Target="https://matematika.cz/mocniny" TargetMode="External"/><Relationship Id="rId26" Type="http://schemas.openxmlformats.org/officeDocument/2006/relationships/hyperlink" Target="https://matematika.cz/slozeny-uro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yperlink" Target="https://matematika.cz/slozeny-uro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ematika.cz/uroky" TargetMode="External"/><Relationship Id="rId24" Type="http://schemas.openxmlformats.org/officeDocument/2006/relationships/hyperlink" Target="https://matematika.cz/slozeny-uro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matematika.cz/uroky" TargetMode="External"/><Relationship Id="rId28" Type="http://schemas.openxmlformats.org/officeDocument/2006/relationships/image" Target="media/image14.png"/><Relationship Id="rId10" Type="http://schemas.openxmlformats.org/officeDocument/2006/relationships/hyperlink" Target="https://matematika.cz/uroky" TargetMode="Externa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s://matematika.cz/slozeny-urok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s://matematika.cz/postupne-uroce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1187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4</cp:revision>
  <dcterms:created xsi:type="dcterms:W3CDTF">2019-06-10T05:51:00Z</dcterms:created>
  <dcterms:modified xsi:type="dcterms:W3CDTF">2019-06-10T07:54:00Z</dcterms:modified>
</cp:coreProperties>
</file>