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F" w:rsidRPr="005E37DE" w:rsidRDefault="00A24C5F" w:rsidP="00A24C5F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A71C79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Č t y ř ú h e l n í k</w:t>
      </w:r>
      <w:r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  V.</w:t>
      </w:r>
    </w:p>
    <w:p w:rsidR="00F83D0D" w:rsidRDefault="00F83D0D">
      <w:pPr>
        <w:jc w:val="center"/>
      </w:pPr>
    </w:p>
    <w:p w:rsidR="0085000B" w:rsidRDefault="0085000B" w:rsidP="0085000B">
      <w:pPr>
        <w:autoSpaceDE w:val="0"/>
        <w:autoSpaceDN w:val="0"/>
        <w:adjustRightInd w:val="0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Lichoběžník – popis, vlastnosti, dělení</w:t>
      </w:r>
    </w:p>
    <w:p w:rsidR="00F83D0D" w:rsidRDefault="00F83D0D">
      <w:pPr>
        <w:jc w:val="both"/>
        <w:rPr>
          <w:i/>
          <w:iCs/>
        </w:rPr>
      </w:pPr>
    </w:p>
    <w:p w:rsidR="00C17093" w:rsidRDefault="0085000B">
      <w:pPr>
        <w:jc w:val="both"/>
        <w:rPr>
          <w:rFonts w:ascii="Arial" w:hAnsi="Arial" w:cs="Arial"/>
        </w:rPr>
      </w:pPr>
      <w:r w:rsidRPr="0085000B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>Lichoběžník</w:t>
      </w:r>
      <w:r w:rsidR="00C17093">
        <w:rPr>
          <w:rFonts w:ascii="Arial" w:hAnsi="Arial" w:cs="Arial"/>
        </w:rPr>
        <w:t xml:space="preserve"> je čtyřúhelník, jehož dvě protější strany jsou rovnoběžné a další dvě zbývající různoběžné.</w:t>
      </w:r>
    </w:p>
    <w:p w:rsidR="00C17093" w:rsidRDefault="00C17093">
      <w:pPr>
        <w:jc w:val="both"/>
        <w:rPr>
          <w:rFonts w:ascii="Arial" w:hAnsi="Arial" w:cs="Arial"/>
        </w:rPr>
      </w:pPr>
    </w:p>
    <w:p w:rsidR="00C17093" w:rsidRPr="00C17093" w:rsidRDefault="0085000B">
      <w:pPr>
        <w:jc w:val="both"/>
        <w:rPr>
          <w:rFonts w:ascii="Arial" w:hAnsi="Arial" w:cs="Arial"/>
        </w:rPr>
      </w:pPr>
      <w:r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>Popis a značení</w:t>
      </w:r>
    </w:p>
    <w:p w:rsidR="00F83D0D" w:rsidRDefault="00C1709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38735</wp:posOffset>
            </wp:positionV>
            <wp:extent cx="3370580" cy="1872615"/>
            <wp:effectExtent l="19050" t="0" r="1270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D0D" w:rsidRPr="0085000B" w:rsidRDefault="003C0877">
      <w:pPr>
        <w:jc w:val="center"/>
        <w:rPr>
          <w:rFonts w:ascii="Arial" w:hAnsi="Arial" w:cs="Arial"/>
          <w:bCs/>
        </w:rPr>
      </w:pPr>
      <w:r w:rsidRPr="0085000B">
        <w:rPr>
          <w:rFonts w:ascii="Arial" w:hAnsi="Arial" w:cs="Arial"/>
          <w:bCs/>
        </w:rPr>
        <w:t>A, B, C, D  -  vrcholy lichoběžníku</w:t>
      </w:r>
    </w:p>
    <w:p w:rsidR="00F83D0D" w:rsidRPr="0085000B" w:rsidRDefault="00F83D0D">
      <w:pPr>
        <w:jc w:val="center"/>
        <w:rPr>
          <w:rFonts w:ascii="Arial" w:hAnsi="Arial" w:cs="Arial"/>
          <w:bCs/>
        </w:rPr>
      </w:pPr>
    </w:p>
    <w:p w:rsidR="00F83D0D" w:rsidRPr="0085000B" w:rsidRDefault="003C0877">
      <w:pPr>
        <w:jc w:val="center"/>
        <w:rPr>
          <w:rFonts w:ascii="Arial" w:hAnsi="Arial" w:cs="Arial"/>
          <w:bCs/>
        </w:rPr>
      </w:pPr>
      <w:r w:rsidRPr="0085000B">
        <w:rPr>
          <w:rFonts w:ascii="Arial" w:hAnsi="Arial" w:cs="Arial"/>
          <w:bCs/>
        </w:rPr>
        <w:t>a, b, c, d  -  strany lichoběžníku</w:t>
      </w:r>
    </w:p>
    <w:p w:rsidR="00F83D0D" w:rsidRPr="0085000B" w:rsidRDefault="00F83D0D">
      <w:pPr>
        <w:jc w:val="center"/>
        <w:rPr>
          <w:rFonts w:ascii="Arial" w:hAnsi="Arial" w:cs="Arial"/>
        </w:rPr>
      </w:pPr>
    </w:p>
    <w:p w:rsidR="00F83D0D" w:rsidRPr="0085000B" w:rsidRDefault="003C0877">
      <w:pPr>
        <w:jc w:val="center"/>
        <w:rPr>
          <w:rFonts w:ascii="Arial" w:hAnsi="Arial" w:cs="Arial"/>
          <w:bCs/>
        </w:rPr>
      </w:pPr>
      <w:r w:rsidRPr="0085000B">
        <w:rPr>
          <w:rFonts w:ascii="Arial" w:hAnsi="Arial" w:cs="Arial"/>
          <w:bCs/>
        </w:rPr>
        <w:t>AB, CD  -  základny lichoběžníku (rovnoběžné)</w:t>
      </w:r>
    </w:p>
    <w:p w:rsidR="00F83D0D" w:rsidRPr="0085000B" w:rsidRDefault="00F83D0D">
      <w:pPr>
        <w:jc w:val="center"/>
        <w:rPr>
          <w:rFonts w:ascii="Arial" w:hAnsi="Arial" w:cs="Arial"/>
          <w:bCs/>
          <w:color w:val="FF0000"/>
        </w:rPr>
      </w:pPr>
    </w:p>
    <w:p w:rsidR="00F83D0D" w:rsidRPr="0085000B" w:rsidRDefault="003C0877">
      <w:pPr>
        <w:jc w:val="center"/>
        <w:rPr>
          <w:rFonts w:ascii="Arial" w:hAnsi="Arial" w:cs="Arial"/>
          <w:bCs/>
        </w:rPr>
      </w:pPr>
      <w:r w:rsidRPr="0085000B">
        <w:rPr>
          <w:rFonts w:ascii="Arial" w:hAnsi="Arial" w:cs="Arial"/>
          <w:bCs/>
        </w:rPr>
        <w:t>B</w:t>
      </w:r>
      <w:r w:rsidR="0085000B" w:rsidRPr="0085000B">
        <w:rPr>
          <w:rFonts w:ascii="Arial" w:hAnsi="Arial" w:cs="Arial"/>
          <w:bCs/>
        </w:rPr>
        <w:t>C, AD  -  ramena lichoběžníku (</w:t>
      </w:r>
      <w:r w:rsidRPr="0085000B">
        <w:rPr>
          <w:rFonts w:ascii="Arial" w:hAnsi="Arial" w:cs="Arial"/>
          <w:bCs/>
        </w:rPr>
        <w:t>různoběžné)</w:t>
      </w:r>
    </w:p>
    <w:p w:rsidR="00F83D0D" w:rsidRPr="0085000B" w:rsidRDefault="00F83D0D">
      <w:pPr>
        <w:jc w:val="center"/>
        <w:rPr>
          <w:rFonts w:ascii="Arial" w:hAnsi="Arial" w:cs="Arial"/>
          <w:bCs/>
          <w:color w:val="3366FF"/>
        </w:rPr>
      </w:pPr>
    </w:p>
    <w:p w:rsidR="00F83D0D" w:rsidRPr="0085000B" w:rsidRDefault="003C0877">
      <w:pPr>
        <w:jc w:val="center"/>
        <w:rPr>
          <w:rFonts w:ascii="Arial" w:hAnsi="Arial" w:cs="Arial"/>
          <w:bCs/>
        </w:rPr>
      </w:pPr>
      <w:r w:rsidRPr="0085000B">
        <w:rPr>
          <w:rFonts w:ascii="Arial" w:hAnsi="Arial" w:cs="Arial"/>
          <w:bCs/>
        </w:rPr>
        <w:t>v  -  výška rovnoběžníku (vzdálenost rovnoběžných přímek p, q)</w:t>
      </w:r>
    </w:p>
    <w:p w:rsidR="00F83D0D" w:rsidRPr="0085000B" w:rsidRDefault="00F83D0D">
      <w:pPr>
        <w:jc w:val="center"/>
        <w:rPr>
          <w:rFonts w:ascii="Arial" w:hAnsi="Arial" w:cs="Arial"/>
          <w:bCs/>
          <w:color w:val="3366FF"/>
        </w:rPr>
      </w:pPr>
    </w:p>
    <w:p w:rsidR="00F83D0D" w:rsidRDefault="003C0877" w:rsidP="0085000B">
      <w:pPr>
        <w:pStyle w:val="Nadpis1"/>
        <w:rPr>
          <w:rFonts w:ascii="Arial" w:hAnsi="Arial" w:cs="Arial"/>
          <w:b w:val="0"/>
          <w:bCs w:val="0"/>
        </w:rPr>
      </w:pPr>
      <w:r w:rsidRPr="0085000B">
        <w:rPr>
          <w:rFonts w:ascii="Arial" w:hAnsi="Arial" w:cs="Arial"/>
          <w:b w:val="0"/>
        </w:rPr>
        <w:t>AC, BD  -  úhlopříčky lichoběžníku</w:t>
      </w:r>
      <w:r w:rsidR="0085000B" w:rsidRPr="0085000B">
        <w:rPr>
          <w:rFonts w:ascii="Arial" w:hAnsi="Arial" w:cs="Arial"/>
          <w:b w:val="0"/>
        </w:rPr>
        <w:t xml:space="preserve">; </w:t>
      </w:r>
      <w:r w:rsidRPr="0085000B">
        <w:rPr>
          <w:rFonts w:ascii="Arial" w:hAnsi="Arial" w:cs="Arial"/>
          <w:b w:val="0"/>
          <w:bCs w:val="0"/>
        </w:rPr>
        <w:t>α, β, γ, δ-  vnitřní úhly lichoběžníku</w:t>
      </w:r>
    </w:p>
    <w:p w:rsidR="0085000B" w:rsidRPr="0085000B" w:rsidRDefault="0085000B" w:rsidP="0085000B"/>
    <w:p w:rsidR="00F83D0D" w:rsidRPr="0085000B" w:rsidRDefault="0085000B" w:rsidP="0085000B">
      <w:pPr>
        <w:rPr>
          <w:rFonts w:ascii="Arial" w:hAnsi="Arial" w:cs="Arial"/>
          <w:bCs/>
        </w:rPr>
      </w:pPr>
      <w:r w:rsidRPr="0085000B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>Lichoběžník</w:t>
      </w:r>
      <w:r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 xml:space="preserve"> - dělení</w:t>
      </w:r>
    </w:p>
    <w:p w:rsidR="00F83D0D" w:rsidRDefault="00F83D0D">
      <w:pPr>
        <w:jc w:val="center"/>
        <w:rPr>
          <w:b/>
          <w:bCs/>
        </w:rPr>
      </w:pPr>
    </w:p>
    <w:p w:rsidR="0085000B" w:rsidRPr="0085000B" w:rsidRDefault="0085000B" w:rsidP="0085000B">
      <w:pPr>
        <w:pStyle w:val="Odstavecseseznamem"/>
        <w:numPr>
          <w:ilvl w:val="0"/>
          <w:numId w:val="5"/>
        </w:numPr>
        <w:jc w:val="both"/>
        <w:rPr>
          <w:b/>
          <w:bCs/>
          <w:i/>
          <w:iCs/>
        </w:rPr>
      </w:pPr>
      <w:r w:rsidRPr="0085000B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>Pravoúhlý lichoběžník</w:t>
      </w:r>
    </w:p>
    <w:p w:rsidR="0085000B" w:rsidRDefault="0085000B" w:rsidP="0085000B">
      <w:pPr>
        <w:pStyle w:val="Odstavecseseznamem"/>
        <w:ind w:left="75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128905</wp:posOffset>
            </wp:positionV>
            <wp:extent cx="1853565" cy="1452880"/>
            <wp:effectExtent l="19050" t="0" r="0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00B" w:rsidRDefault="0085000B" w:rsidP="0085000B">
      <w:pPr>
        <w:pStyle w:val="Odstavecseseznamem"/>
        <w:ind w:left="750"/>
        <w:jc w:val="both"/>
        <w:rPr>
          <w:rFonts w:ascii="Arial" w:hAnsi="Arial" w:cs="Arial"/>
          <w:bCs/>
          <w:iCs/>
        </w:rPr>
      </w:pPr>
    </w:p>
    <w:p w:rsidR="0085000B" w:rsidRDefault="0085000B" w:rsidP="0085000B">
      <w:pPr>
        <w:pStyle w:val="Odstavecseseznamem"/>
        <w:ind w:left="750"/>
        <w:jc w:val="both"/>
        <w:rPr>
          <w:rFonts w:ascii="Arial" w:hAnsi="Arial" w:cs="Arial"/>
          <w:bCs/>
          <w:iCs/>
        </w:rPr>
      </w:pPr>
    </w:p>
    <w:p w:rsidR="00D2235B" w:rsidRDefault="003C0877" w:rsidP="00D2235B">
      <w:pPr>
        <w:pStyle w:val="Nadpis1"/>
        <w:numPr>
          <w:ilvl w:val="0"/>
          <w:numId w:val="7"/>
        </w:numPr>
        <w:jc w:val="left"/>
        <w:rPr>
          <w:rFonts w:ascii="Arial" w:hAnsi="Arial" w:cs="Arial"/>
          <w:b w:val="0"/>
        </w:rPr>
      </w:pPr>
      <w:r w:rsidRPr="00D2235B">
        <w:rPr>
          <w:rFonts w:ascii="Arial" w:hAnsi="Arial" w:cs="Arial"/>
          <w:b w:val="0"/>
        </w:rPr>
        <w:t xml:space="preserve">má jedno rameno kolmé k oběma </w:t>
      </w:r>
    </w:p>
    <w:p w:rsidR="00D2235B" w:rsidRDefault="00D2235B" w:rsidP="00D2235B">
      <w:pPr>
        <w:pStyle w:val="Nadpis1"/>
        <w:ind w:left="720"/>
        <w:jc w:val="left"/>
        <w:rPr>
          <w:rFonts w:ascii="Arial" w:hAnsi="Arial" w:cs="Arial"/>
          <w:b w:val="0"/>
        </w:rPr>
      </w:pPr>
    </w:p>
    <w:p w:rsidR="00F83D0D" w:rsidRDefault="00124D53" w:rsidP="00D2235B">
      <w:pPr>
        <w:pStyle w:val="Nadpis1"/>
        <w:ind w:left="720"/>
        <w:jc w:val="left"/>
        <w:rPr>
          <w:rFonts w:ascii="Arial" w:hAnsi="Arial" w:cs="Arial"/>
          <w:b w:val="0"/>
        </w:rPr>
      </w:pPr>
      <w:r w:rsidRPr="00D2235B">
        <w:rPr>
          <w:rFonts w:ascii="Arial" w:hAnsi="Arial" w:cs="Arial"/>
          <w:b w:val="0"/>
        </w:rPr>
        <w:t>z</w:t>
      </w:r>
      <w:r w:rsidR="003C0877" w:rsidRPr="00D2235B">
        <w:rPr>
          <w:rFonts w:ascii="Arial" w:hAnsi="Arial" w:cs="Arial"/>
          <w:b w:val="0"/>
        </w:rPr>
        <w:t xml:space="preserve">ákladnám </w:t>
      </w:r>
    </w:p>
    <w:p w:rsidR="00D2235B" w:rsidRPr="003678F0" w:rsidRDefault="00D2235B" w:rsidP="00D2235B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3678F0">
        <w:rPr>
          <w:rFonts w:ascii="Arial" w:hAnsi="Arial" w:cs="Arial"/>
        </w:rPr>
        <w:t xml:space="preserve">má </w:t>
      </w:r>
      <w:r w:rsidRPr="003678F0">
        <w:rPr>
          <w:rFonts w:ascii="Arial" w:hAnsi="Arial" w:cs="Arial"/>
          <w:b/>
          <w:i/>
          <w:u w:val="single"/>
        </w:rPr>
        <w:t>dva</w:t>
      </w:r>
      <w:r w:rsidRPr="003678F0">
        <w:rPr>
          <w:rFonts w:ascii="Arial" w:hAnsi="Arial" w:cs="Arial"/>
        </w:rPr>
        <w:t xml:space="preserve"> pravé úhly</w:t>
      </w:r>
    </w:p>
    <w:p w:rsidR="00F83D0D" w:rsidRDefault="00F83D0D">
      <w:pPr>
        <w:jc w:val="both"/>
        <w:rPr>
          <w:b/>
          <w:bCs/>
          <w:color w:val="FF0000"/>
        </w:rPr>
      </w:pPr>
    </w:p>
    <w:p w:rsidR="00F83D0D" w:rsidRDefault="00F83D0D">
      <w:pPr>
        <w:pStyle w:val="Nadpis2"/>
        <w:jc w:val="left"/>
        <w:rPr>
          <w:b w:val="0"/>
          <w:bCs w:val="0"/>
        </w:rPr>
      </w:pPr>
    </w:p>
    <w:p w:rsidR="00D2235B" w:rsidRDefault="00D2235B"/>
    <w:p w:rsidR="00D2235B" w:rsidRDefault="00D2235B" w:rsidP="00D2235B">
      <w:pPr>
        <w:pStyle w:val="Odstavecseseznamem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>Rovnoramenný</w:t>
      </w:r>
      <w:r w:rsidRPr="0085000B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 xml:space="preserve"> lichoběžník</w:t>
      </w:r>
    </w:p>
    <w:p w:rsidR="00D2235B" w:rsidRDefault="00D2235B" w:rsidP="00D2235B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156210</wp:posOffset>
            </wp:positionV>
            <wp:extent cx="1632585" cy="1209040"/>
            <wp:effectExtent l="19050" t="0" r="5715" b="0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35B" w:rsidRDefault="00D2235B" w:rsidP="00D2235B">
      <w:pPr>
        <w:jc w:val="both"/>
        <w:rPr>
          <w:b/>
          <w:bCs/>
          <w:i/>
          <w:iCs/>
        </w:rPr>
      </w:pPr>
    </w:p>
    <w:p w:rsidR="00F83D0D" w:rsidRPr="00D2235B" w:rsidRDefault="003C0877" w:rsidP="00D2235B">
      <w:pPr>
        <w:pStyle w:val="Odstavecseseznamem"/>
        <w:numPr>
          <w:ilvl w:val="0"/>
          <w:numId w:val="7"/>
        </w:numPr>
        <w:rPr>
          <w:rFonts w:ascii="Arial" w:hAnsi="Arial" w:cs="Arial"/>
          <w:bCs/>
          <w:iCs/>
        </w:rPr>
      </w:pPr>
      <w:r w:rsidRPr="00D2235B">
        <w:rPr>
          <w:rFonts w:ascii="Arial" w:hAnsi="Arial" w:cs="Arial"/>
          <w:bCs/>
          <w:iCs/>
        </w:rPr>
        <w:t>lichoběžník, jehož ramena jsou shodná</w:t>
      </w:r>
    </w:p>
    <w:p w:rsidR="00F83D0D" w:rsidRPr="00D2235B" w:rsidRDefault="00F83D0D">
      <w:pPr>
        <w:jc w:val="both"/>
        <w:rPr>
          <w:rFonts w:ascii="Arial" w:hAnsi="Arial" w:cs="Arial"/>
        </w:rPr>
      </w:pPr>
    </w:p>
    <w:p w:rsidR="00F83D0D" w:rsidRPr="00D2235B" w:rsidRDefault="00D2235B" w:rsidP="00D2235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D2235B">
        <w:rPr>
          <w:rFonts w:ascii="Arial" w:hAnsi="Arial" w:cs="Arial"/>
          <w:bCs/>
        </w:rPr>
        <w:t>v</w:t>
      </w:r>
      <w:r w:rsidR="003C0877" w:rsidRPr="00D2235B">
        <w:rPr>
          <w:rFonts w:ascii="Arial" w:hAnsi="Arial" w:cs="Arial"/>
          <w:bCs/>
        </w:rPr>
        <w:t xml:space="preserve">nitřní úhly při vrcholech A, B </w:t>
      </w:r>
      <w:r w:rsidR="00583D42" w:rsidRPr="00583D42">
        <w:rPr>
          <w:rFonts w:ascii="Arial" w:hAnsi="Arial" w:cs="Arial"/>
          <w:b/>
          <w:bCs/>
          <w:i/>
          <w:u w:val="single"/>
        </w:rPr>
        <w:t>j</w:t>
      </w:r>
      <w:r w:rsidR="003C0877" w:rsidRPr="00583D42">
        <w:rPr>
          <w:rFonts w:ascii="Arial" w:hAnsi="Arial" w:cs="Arial"/>
          <w:b/>
          <w:i/>
          <w:u w:val="single"/>
        </w:rPr>
        <w:t>sou shodné</w:t>
      </w:r>
    </w:p>
    <w:p w:rsidR="00F83D0D" w:rsidRPr="00D2235B" w:rsidRDefault="00F83D0D">
      <w:pPr>
        <w:jc w:val="both"/>
        <w:rPr>
          <w:rFonts w:ascii="Arial" w:hAnsi="Arial" w:cs="Arial"/>
        </w:rPr>
      </w:pPr>
    </w:p>
    <w:p w:rsidR="00F83D0D" w:rsidRDefault="003C0877" w:rsidP="00D2235B">
      <w:pPr>
        <w:pStyle w:val="Odstavecseseznamem"/>
        <w:numPr>
          <w:ilvl w:val="0"/>
          <w:numId w:val="7"/>
        </w:numPr>
        <w:jc w:val="both"/>
      </w:pPr>
      <w:r w:rsidRPr="00D2235B">
        <w:rPr>
          <w:rFonts w:ascii="Arial" w:hAnsi="Arial" w:cs="Arial"/>
          <w:bCs/>
        </w:rPr>
        <w:t xml:space="preserve">vnitřní úhly při vrcholech C a D </w:t>
      </w:r>
      <w:r w:rsidR="00D2235B" w:rsidRPr="00583D42">
        <w:rPr>
          <w:rFonts w:ascii="Arial" w:hAnsi="Arial" w:cs="Arial"/>
          <w:b/>
          <w:bCs/>
          <w:i/>
          <w:u w:val="single"/>
        </w:rPr>
        <w:t>js</w:t>
      </w:r>
      <w:r w:rsidRPr="00583D42">
        <w:rPr>
          <w:rFonts w:ascii="Arial" w:hAnsi="Arial" w:cs="Arial"/>
          <w:b/>
          <w:i/>
          <w:u w:val="single"/>
        </w:rPr>
        <w:t>ou shodné</w:t>
      </w:r>
      <w:r>
        <w:t xml:space="preserve">. </w:t>
      </w:r>
    </w:p>
    <w:p w:rsidR="00F83D0D" w:rsidRDefault="00F83D0D">
      <w:pPr>
        <w:jc w:val="both"/>
      </w:pPr>
    </w:p>
    <w:p w:rsidR="00F83D0D" w:rsidRDefault="00F83D0D">
      <w:pPr>
        <w:jc w:val="both"/>
        <w:rPr>
          <w:b/>
          <w:bCs/>
          <w:color w:val="FF0000"/>
        </w:rPr>
      </w:pPr>
    </w:p>
    <w:p w:rsidR="00583D42" w:rsidRDefault="00583D42">
      <w:pPr>
        <w:jc w:val="both"/>
        <w:rPr>
          <w:rFonts w:ascii="Arial" w:hAnsi="Arial" w:cs="Arial"/>
          <w:bCs/>
        </w:rPr>
      </w:pPr>
    </w:p>
    <w:p w:rsidR="00583D42" w:rsidRDefault="00583D42">
      <w:pPr>
        <w:jc w:val="both"/>
        <w:rPr>
          <w:rFonts w:ascii="Arial" w:hAnsi="Arial" w:cs="Arial"/>
          <w:bCs/>
        </w:rPr>
      </w:pPr>
    </w:p>
    <w:p w:rsidR="00F33D37" w:rsidRDefault="00F33D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-57150</wp:posOffset>
            </wp:positionV>
            <wp:extent cx="2141220" cy="165163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D0D" w:rsidRPr="00583D42" w:rsidRDefault="00583D42" w:rsidP="00583D4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583D42">
        <w:rPr>
          <w:rFonts w:ascii="Arial" w:hAnsi="Arial" w:cs="Arial"/>
          <w:bCs/>
        </w:rPr>
        <w:t>Rovnoramenný lichoběžník je osově souměrný podle osy, která prochází středy jeho základen.</w:t>
      </w:r>
    </w:p>
    <w:p w:rsidR="00F83D0D" w:rsidRDefault="00F83D0D">
      <w:pPr>
        <w:jc w:val="center"/>
        <w:rPr>
          <w:b/>
          <w:bCs/>
        </w:rPr>
      </w:pPr>
    </w:p>
    <w:p w:rsidR="00F83D0D" w:rsidRPr="00F33D37" w:rsidRDefault="00583D42" w:rsidP="00F33D3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33D37">
        <w:rPr>
          <w:rFonts w:ascii="Arial" w:hAnsi="Arial" w:cs="Arial"/>
        </w:rPr>
        <w:t>Úhlopříčky v</w:t>
      </w:r>
      <w:r w:rsidR="00F33D37" w:rsidRPr="00F33D37">
        <w:rPr>
          <w:rFonts w:ascii="Arial" w:hAnsi="Arial" w:cs="Arial"/>
        </w:rPr>
        <w:t> </w:t>
      </w:r>
      <w:r w:rsidRPr="00F33D37">
        <w:rPr>
          <w:rFonts w:ascii="Arial" w:hAnsi="Arial" w:cs="Arial"/>
        </w:rPr>
        <w:t>rovnoramenném</w:t>
      </w:r>
      <w:r w:rsidR="00F33D37" w:rsidRPr="00F33D37">
        <w:rPr>
          <w:rFonts w:ascii="Arial" w:hAnsi="Arial" w:cs="Arial"/>
        </w:rPr>
        <w:t xml:space="preserve"> lichoběžníku jsou shodné.</w:t>
      </w:r>
    </w:p>
    <w:p w:rsidR="00F83D0D" w:rsidRDefault="00F83D0D">
      <w:pPr>
        <w:jc w:val="both"/>
        <w:rPr>
          <w:b/>
          <w:bCs/>
        </w:rPr>
      </w:pPr>
    </w:p>
    <w:p w:rsidR="00F83D0D" w:rsidRDefault="00F83D0D">
      <w:pPr>
        <w:jc w:val="center"/>
      </w:pPr>
    </w:p>
    <w:p w:rsidR="00F83D0D" w:rsidRDefault="00F83D0D">
      <w:pPr>
        <w:jc w:val="center"/>
      </w:pPr>
    </w:p>
    <w:p w:rsidR="00F83D0D" w:rsidRDefault="00F83D0D">
      <w:pPr>
        <w:jc w:val="both"/>
        <w:rPr>
          <w:i/>
          <w:iCs/>
          <w:vertAlign w:val="subscript"/>
        </w:rPr>
      </w:pPr>
    </w:p>
    <w:p w:rsidR="00F83D0D" w:rsidRDefault="00F83D0D">
      <w:pPr>
        <w:jc w:val="both"/>
      </w:pPr>
    </w:p>
    <w:p w:rsidR="00F33D37" w:rsidRDefault="00F33D37" w:rsidP="00F33D37">
      <w:pPr>
        <w:pStyle w:val="Odstavecseseznamem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>Obecný</w:t>
      </w:r>
      <w:r w:rsidRPr="0085000B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 xml:space="preserve"> lichoběžník</w:t>
      </w:r>
    </w:p>
    <w:p w:rsidR="00F83D0D" w:rsidRDefault="00F83D0D">
      <w:pPr>
        <w:jc w:val="both"/>
      </w:pPr>
    </w:p>
    <w:p w:rsidR="00F83D0D" w:rsidRDefault="00F83D0D">
      <w:pPr>
        <w:jc w:val="both"/>
        <w:rPr>
          <w:b/>
          <w:bCs/>
          <w:color w:val="FF0000"/>
          <w:highlight w:val="cyan"/>
        </w:rPr>
      </w:pPr>
    </w:p>
    <w:p w:rsidR="00F83D0D" w:rsidRPr="00F33D37" w:rsidRDefault="003C0877" w:rsidP="00F33D3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Cs/>
          <w:iCs/>
        </w:rPr>
      </w:pPr>
      <w:r w:rsidRPr="00F33D37">
        <w:rPr>
          <w:rFonts w:ascii="Arial" w:hAnsi="Arial" w:cs="Arial"/>
          <w:bCs/>
          <w:iCs/>
        </w:rPr>
        <w:t>lichoběžník, který má různě dlouhá ramena a ani jeden jeho vnitřní úhel není pravý</w:t>
      </w:r>
    </w:p>
    <w:p w:rsidR="00F83D0D" w:rsidRDefault="00F83D0D">
      <w:pPr>
        <w:jc w:val="both"/>
        <w:rPr>
          <w:b/>
          <w:bCs/>
          <w:i/>
          <w:iCs/>
        </w:rPr>
      </w:pPr>
    </w:p>
    <w:p w:rsidR="00F83D0D" w:rsidRPr="00F33D37" w:rsidRDefault="003C0877" w:rsidP="00F33D3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F33D37">
        <w:rPr>
          <w:rFonts w:ascii="Arial" w:hAnsi="Arial" w:cs="Arial"/>
        </w:rPr>
        <w:t xml:space="preserve">součet </w:t>
      </w:r>
      <w:r w:rsidR="00D3408D">
        <w:rPr>
          <w:rFonts w:ascii="Arial" w:hAnsi="Arial" w:cs="Arial"/>
        </w:rPr>
        <w:t xml:space="preserve">velikostí </w:t>
      </w:r>
      <w:r w:rsidRPr="00F33D37">
        <w:rPr>
          <w:rFonts w:ascii="Arial" w:hAnsi="Arial" w:cs="Arial"/>
        </w:rPr>
        <w:t>vnit</w:t>
      </w:r>
      <w:r w:rsidR="00F33D37" w:rsidRPr="00F33D37">
        <w:rPr>
          <w:rFonts w:ascii="Arial" w:hAnsi="Arial" w:cs="Arial"/>
        </w:rPr>
        <w:t>řních úhlů čtyřúhelníku je 360˚</w:t>
      </w:r>
    </w:p>
    <w:p w:rsidR="00F83D0D" w:rsidRDefault="00F83D0D">
      <w:pPr>
        <w:jc w:val="both"/>
      </w:pPr>
    </w:p>
    <w:p w:rsidR="00F83D0D" w:rsidRDefault="00F83D0D">
      <w:pPr>
        <w:jc w:val="both"/>
      </w:pPr>
    </w:p>
    <w:p w:rsidR="00F83D0D" w:rsidRDefault="00F33D37" w:rsidP="00F33D37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 xml:space="preserve">Lichoběžník – přehledná tabulka = tahák </w:t>
      </w:r>
      <w:r w:rsidRPr="00F33D37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sym w:font="Wingdings" w:char="F04A"/>
      </w:r>
    </w:p>
    <w:p w:rsidR="00F83D0D" w:rsidRDefault="00F83D0D">
      <w:pPr>
        <w:pStyle w:val="Zkladntext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0"/>
        <w:gridCol w:w="2550"/>
        <w:gridCol w:w="3404"/>
      </w:tblGrid>
      <w:tr w:rsidR="00F83D0D" w:rsidTr="00F33D37">
        <w:trPr>
          <w:cantSplit/>
          <w:trHeight w:val="851"/>
          <w:jc w:val="center"/>
        </w:trPr>
        <w:tc>
          <w:tcPr>
            <w:tcW w:w="9073" w:type="dxa"/>
            <w:gridSpan w:val="3"/>
            <w:shd w:val="clear" w:color="auto" w:fill="FFC000"/>
            <w:vAlign w:val="center"/>
          </w:tcPr>
          <w:p w:rsidR="00F83D0D" w:rsidRPr="00F33D37" w:rsidRDefault="003C0877">
            <w:pPr>
              <w:pStyle w:val="Zkladntext2"/>
              <w:jc w:val="center"/>
              <w:rPr>
                <w:rFonts w:ascii="Comic Sans MS" w:hAnsi="Comic Sans MS"/>
                <w:i/>
                <w:sz w:val="44"/>
                <w:szCs w:val="44"/>
                <w:u w:val="single"/>
              </w:rPr>
            </w:pP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L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i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c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h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o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b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ě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ž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n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í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k</w:t>
            </w:r>
            <w:r>
              <w:rPr>
                <w:rFonts w:ascii="Comic Sans MS" w:hAnsi="Comic Sans MS"/>
                <w:i/>
                <w:sz w:val="44"/>
                <w:szCs w:val="44"/>
                <w:u w:val="single"/>
              </w:rPr>
              <w:t> </w:t>
            </w:r>
            <w:r w:rsidRPr="00F33D37">
              <w:rPr>
                <w:rFonts w:ascii="Comic Sans MS" w:hAnsi="Comic Sans MS"/>
                <w:i/>
                <w:sz w:val="44"/>
                <w:szCs w:val="44"/>
                <w:u w:val="single"/>
              </w:rPr>
              <w:t>y</w:t>
            </w:r>
          </w:p>
        </w:tc>
      </w:tr>
      <w:tr w:rsidR="00F83D0D" w:rsidRPr="00F33D37" w:rsidTr="00F33D37">
        <w:trPr>
          <w:trHeight w:val="851"/>
          <w:jc w:val="center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F83D0D" w:rsidRPr="00F33D37" w:rsidRDefault="003C0877">
            <w:pPr>
              <w:pStyle w:val="Zkladntext2"/>
              <w:jc w:val="center"/>
              <w:rPr>
                <w:rFonts w:ascii="Comic Sans MS" w:hAnsi="Comic Sans MS"/>
                <w:i/>
                <w:color w:val="0000FF"/>
                <w:szCs w:val="32"/>
              </w:rPr>
            </w:pPr>
            <w:r w:rsidRPr="00F33D37">
              <w:rPr>
                <w:rFonts w:ascii="Comic Sans MS" w:hAnsi="Comic Sans MS"/>
                <w:i/>
                <w:color w:val="0000FF"/>
                <w:szCs w:val="32"/>
              </w:rPr>
              <w:t>Obecný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F83D0D" w:rsidRPr="00F33D37" w:rsidRDefault="003C0877">
            <w:pPr>
              <w:pStyle w:val="Zkladntext2"/>
              <w:jc w:val="center"/>
              <w:rPr>
                <w:rFonts w:ascii="Comic Sans MS" w:hAnsi="Comic Sans MS"/>
                <w:i/>
                <w:color w:val="339966"/>
                <w:szCs w:val="32"/>
              </w:rPr>
            </w:pPr>
            <w:r w:rsidRPr="00F33D37">
              <w:rPr>
                <w:rFonts w:ascii="Comic Sans MS" w:hAnsi="Comic Sans MS"/>
                <w:i/>
                <w:color w:val="339966"/>
                <w:szCs w:val="32"/>
              </w:rPr>
              <w:t>Pravoúhlý</w:t>
            </w:r>
          </w:p>
        </w:tc>
        <w:tc>
          <w:tcPr>
            <w:tcW w:w="3404" w:type="dxa"/>
            <w:shd w:val="clear" w:color="auto" w:fill="BFBFBF" w:themeFill="background1" w:themeFillShade="BF"/>
            <w:vAlign w:val="center"/>
          </w:tcPr>
          <w:p w:rsidR="00F83D0D" w:rsidRPr="00F33D37" w:rsidRDefault="003C0877">
            <w:pPr>
              <w:pStyle w:val="Zkladntext2"/>
              <w:jc w:val="center"/>
              <w:rPr>
                <w:rFonts w:ascii="Comic Sans MS" w:hAnsi="Comic Sans MS"/>
                <w:i/>
                <w:color w:val="FF00FF"/>
                <w:szCs w:val="32"/>
              </w:rPr>
            </w:pPr>
            <w:r w:rsidRPr="00F33D37">
              <w:rPr>
                <w:rFonts w:ascii="Comic Sans MS" w:hAnsi="Comic Sans MS"/>
                <w:i/>
                <w:color w:val="FF00FF"/>
                <w:szCs w:val="32"/>
              </w:rPr>
              <w:t>Rovnoramenný</w:t>
            </w:r>
          </w:p>
        </w:tc>
      </w:tr>
      <w:tr w:rsidR="00F83D0D" w:rsidTr="00F33D37">
        <w:trPr>
          <w:trHeight w:val="851"/>
          <w:jc w:val="center"/>
        </w:trPr>
        <w:tc>
          <w:tcPr>
            <w:tcW w:w="3120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Dvě protější strany jsou rovnoběžné, dvě různoběžné</w:t>
            </w:r>
          </w:p>
        </w:tc>
        <w:tc>
          <w:tcPr>
            <w:tcW w:w="2549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339966"/>
                <w:sz w:val="24"/>
              </w:rPr>
            </w:pPr>
            <w:r>
              <w:rPr>
                <w:b w:val="0"/>
                <w:bCs w:val="0"/>
                <w:color w:val="339966"/>
                <w:sz w:val="24"/>
              </w:rPr>
              <w:t>Dvě protější strany jsou rovnoběžné, dvě různoběžné</w:t>
            </w:r>
          </w:p>
        </w:tc>
        <w:tc>
          <w:tcPr>
            <w:tcW w:w="3404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FF00FF"/>
                <w:sz w:val="24"/>
              </w:rPr>
            </w:pPr>
            <w:r>
              <w:rPr>
                <w:b w:val="0"/>
                <w:bCs w:val="0"/>
                <w:color w:val="FF00FF"/>
                <w:sz w:val="24"/>
              </w:rPr>
              <w:t>Dvě protější strany jsou rovnoběžné, dvě různoběžné</w:t>
            </w:r>
          </w:p>
        </w:tc>
      </w:tr>
      <w:tr w:rsidR="00F83D0D" w:rsidTr="00F33D37">
        <w:trPr>
          <w:trHeight w:val="851"/>
          <w:jc w:val="center"/>
        </w:trPr>
        <w:tc>
          <w:tcPr>
            <w:tcW w:w="3120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Součet vnitřních úhlů je 360˚</w:t>
            </w:r>
          </w:p>
        </w:tc>
        <w:tc>
          <w:tcPr>
            <w:tcW w:w="2549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339966"/>
                <w:sz w:val="24"/>
              </w:rPr>
            </w:pPr>
            <w:r>
              <w:rPr>
                <w:b w:val="0"/>
                <w:bCs w:val="0"/>
                <w:color w:val="339966"/>
                <w:sz w:val="24"/>
              </w:rPr>
              <w:t>Součet vnitřních úhlů je 360˚</w:t>
            </w:r>
          </w:p>
        </w:tc>
        <w:tc>
          <w:tcPr>
            <w:tcW w:w="3404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FF00FF"/>
                <w:sz w:val="24"/>
              </w:rPr>
            </w:pPr>
            <w:r>
              <w:rPr>
                <w:b w:val="0"/>
                <w:bCs w:val="0"/>
                <w:color w:val="FF00FF"/>
                <w:sz w:val="24"/>
              </w:rPr>
              <w:t>Součet vnitřních úhlů je 360˚</w:t>
            </w:r>
          </w:p>
        </w:tc>
      </w:tr>
      <w:tr w:rsidR="00F83D0D" w:rsidTr="00F33D37">
        <w:trPr>
          <w:trHeight w:val="851"/>
          <w:jc w:val="center"/>
        </w:trPr>
        <w:tc>
          <w:tcPr>
            <w:tcW w:w="3120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 xml:space="preserve">Nemá žádný vnitřní úhel pravý </w:t>
            </w:r>
          </w:p>
        </w:tc>
        <w:tc>
          <w:tcPr>
            <w:tcW w:w="2549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339966"/>
                <w:sz w:val="24"/>
              </w:rPr>
            </w:pPr>
            <w:r>
              <w:rPr>
                <w:b w:val="0"/>
                <w:bCs w:val="0"/>
                <w:color w:val="339966"/>
                <w:sz w:val="24"/>
              </w:rPr>
              <w:t>Má dva vnitřní úhly pravé</w:t>
            </w:r>
          </w:p>
        </w:tc>
        <w:tc>
          <w:tcPr>
            <w:tcW w:w="3404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FF00FF"/>
                <w:sz w:val="24"/>
              </w:rPr>
            </w:pPr>
            <w:r>
              <w:rPr>
                <w:b w:val="0"/>
                <w:bCs w:val="0"/>
                <w:color w:val="FF00FF"/>
                <w:sz w:val="24"/>
              </w:rPr>
              <w:t>Nemá žádný vnitřní úhel pravý</w:t>
            </w:r>
          </w:p>
        </w:tc>
      </w:tr>
      <w:tr w:rsidR="00F83D0D" w:rsidTr="00F33D37">
        <w:trPr>
          <w:trHeight w:val="851"/>
          <w:jc w:val="center"/>
        </w:trPr>
        <w:tc>
          <w:tcPr>
            <w:tcW w:w="3120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Vnitřní úhly při základnách nejsou shodné</w:t>
            </w:r>
          </w:p>
        </w:tc>
        <w:tc>
          <w:tcPr>
            <w:tcW w:w="2549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339966"/>
                <w:sz w:val="24"/>
              </w:rPr>
            </w:pPr>
            <w:r>
              <w:rPr>
                <w:b w:val="0"/>
                <w:bCs w:val="0"/>
                <w:color w:val="339966"/>
                <w:sz w:val="24"/>
              </w:rPr>
              <w:t>Vnitřní úhly při základnách nejsou shodné</w:t>
            </w:r>
          </w:p>
        </w:tc>
        <w:tc>
          <w:tcPr>
            <w:tcW w:w="3404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FF00FF"/>
                <w:sz w:val="24"/>
              </w:rPr>
            </w:pPr>
            <w:r>
              <w:rPr>
                <w:b w:val="0"/>
                <w:bCs w:val="0"/>
                <w:color w:val="FF00FF"/>
                <w:sz w:val="24"/>
              </w:rPr>
              <w:t>Vnitřní úhly při základnách jsou shodné</w:t>
            </w:r>
          </w:p>
        </w:tc>
      </w:tr>
      <w:tr w:rsidR="00F83D0D" w:rsidTr="00F33D37">
        <w:trPr>
          <w:trHeight w:val="851"/>
          <w:jc w:val="center"/>
        </w:trPr>
        <w:tc>
          <w:tcPr>
            <w:tcW w:w="3120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Není osové souměrný</w:t>
            </w:r>
          </w:p>
        </w:tc>
        <w:tc>
          <w:tcPr>
            <w:tcW w:w="2549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339966"/>
                <w:sz w:val="24"/>
              </w:rPr>
            </w:pPr>
            <w:r>
              <w:rPr>
                <w:b w:val="0"/>
                <w:bCs w:val="0"/>
                <w:color w:val="339966"/>
                <w:sz w:val="24"/>
              </w:rPr>
              <w:t>Není osově souměrný</w:t>
            </w:r>
          </w:p>
        </w:tc>
        <w:tc>
          <w:tcPr>
            <w:tcW w:w="3404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FF00FF"/>
                <w:sz w:val="24"/>
              </w:rPr>
            </w:pPr>
            <w:r>
              <w:rPr>
                <w:b w:val="0"/>
                <w:bCs w:val="0"/>
                <w:color w:val="FF00FF"/>
                <w:sz w:val="24"/>
              </w:rPr>
              <w:t>Je osově souměrný podle spojnice středů obou základen</w:t>
            </w:r>
          </w:p>
        </w:tc>
      </w:tr>
      <w:tr w:rsidR="00F83D0D" w:rsidTr="00F33D37">
        <w:trPr>
          <w:trHeight w:val="851"/>
          <w:jc w:val="center"/>
        </w:trPr>
        <w:tc>
          <w:tcPr>
            <w:tcW w:w="3120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Úhlopříčky nejsou shodné</w:t>
            </w:r>
          </w:p>
        </w:tc>
        <w:tc>
          <w:tcPr>
            <w:tcW w:w="2549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339966"/>
                <w:sz w:val="24"/>
              </w:rPr>
            </w:pPr>
            <w:r>
              <w:rPr>
                <w:b w:val="0"/>
                <w:bCs w:val="0"/>
                <w:color w:val="339966"/>
                <w:sz w:val="24"/>
              </w:rPr>
              <w:t>Úhlopříčky nejsou shodné</w:t>
            </w:r>
          </w:p>
        </w:tc>
        <w:tc>
          <w:tcPr>
            <w:tcW w:w="3404" w:type="dxa"/>
            <w:vAlign w:val="center"/>
          </w:tcPr>
          <w:p w:rsidR="00F83D0D" w:rsidRDefault="003C0877">
            <w:pPr>
              <w:pStyle w:val="Zkladntext2"/>
              <w:jc w:val="center"/>
              <w:rPr>
                <w:b w:val="0"/>
                <w:bCs w:val="0"/>
                <w:color w:val="FF00FF"/>
                <w:sz w:val="24"/>
              </w:rPr>
            </w:pPr>
            <w:r>
              <w:rPr>
                <w:b w:val="0"/>
                <w:bCs w:val="0"/>
                <w:color w:val="FF00FF"/>
                <w:sz w:val="24"/>
              </w:rPr>
              <w:t>Úhlopříčky jsou shodné</w:t>
            </w:r>
          </w:p>
        </w:tc>
      </w:tr>
    </w:tbl>
    <w:p w:rsidR="00F83D0D" w:rsidRDefault="00F83D0D">
      <w:pPr>
        <w:pStyle w:val="Zkladntext2"/>
        <w:jc w:val="center"/>
        <w:rPr>
          <w:b w:val="0"/>
          <w:bCs w:val="0"/>
          <w:highlight w:val="cyan"/>
        </w:rPr>
      </w:pPr>
    </w:p>
    <w:p w:rsidR="00F83D0D" w:rsidRDefault="00F83D0D">
      <w:pPr>
        <w:pStyle w:val="Zkladntext2"/>
        <w:jc w:val="center"/>
        <w:rPr>
          <w:b w:val="0"/>
          <w:bCs w:val="0"/>
          <w:highlight w:val="cyan"/>
        </w:rPr>
      </w:pPr>
    </w:p>
    <w:p w:rsidR="0072495B" w:rsidRDefault="0072495B">
      <w:pPr>
        <w:pStyle w:val="Zkladntext2"/>
        <w:jc w:val="center"/>
        <w:rPr>
          <w:b w:val="0"/>
          <w:bCs w:val="0"/>
          <w:highlight w:val="cyan"/>
        </w:rPr>
      </w:pPr>
    </w:p>
    <w:p w:rsidR="0072495B" w:rsidRDefault="0072495B">
      <w:pPr>
        <w:pStyle w:val="Zkladntext2"/>
        <w:jc w:val="center"/>
        <w:rPr>
          <w:b w:val="0"/>
          <w:bCs w:val="0"/>
          <w:highlight w:val="cyan"/>
        </w:rPr>
      </w:pPr>
    </w:p>
    <w:p w:rsidR="0072495B" w:rsidRPr="0072495B" w:rsidRDefault="0072495B" w:rsidP="0072495B">
      <w:pPr>
        <w:pStyle w:val="Zkladntext2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noProof/>
          <w:color w:val="auto"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-58420</wp:posOffset>
            </wp:positionV>
            <wp:extent cx="1238250" cy="17075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95B">
        <w:rPr>
          <w:rFonts w:ascii="Arial" w:hAnsi="Arial" w:cs="Arial"/>
          <w:b w:val="0"/>
          <w:bCs w:val="0"/>
          <w:color w:val="auto"/>
          <w:sz w:val="24"/>
        </w:rPr>
        <w:t>Na obrázku je nakreslen lichoběžník ABCD:</w:t>
      </w:r>
    </w:p>
    <w:p w:rsidR="0072495B" w:rsidRPr="0072495B" w:rsidRDefault="0072495B" w:rsidP="0072495B">
      <w:pPr>
        <w:pStyle w:val="Zkladntext2"/>
        <w:rPr>
          <w:rFonts w:ascii="Arial" w:hAnsi="Arial" w:cs="Arial"/>
          <w:b w:val="0"/>
          <w:bCs w:val="0"/>
          <w:color w:val="auto"/>
          <w:sz w:val="24"/>
        </w:rPr>
      </w:pPr>
      <w:r w:rsidRPr="0072495B">
        <w:rPr>
          <w:rFonts w:ascii="Arial" w:hAnsi="Arial" w:cs="Arial"/>
          <w:b w:val="0"/>
          <w:bCs w:val="0"/>
          <w:color w:val="auto"/>
          <w:sz w:val="24"/>
        </w:rPr>
        <w:t>Vyhledej a zapiš:</w:t>
      </w:r>
    </w:p>
    <w:p w:rsidR="0072495B" w:rsidRPr="0072495B" w:rsidRDefault="0072495B" w:rsidP="0072495B">
      <w:pPr>
        <w:pStyle w:val="Zkladntext2"/>
        <w:rPr>
          <w:rFonts w:ascii="Arial" w:hAnsi="Arial" w:cs="Arial"/>
          <w:b w:val="0"/>
          <w:bCs w:val="0"/>
          <w:color w:val="auto"/>
          <w:sz w:val="24"/>
        </w:rPr>
      </w:pPr>
    </w:p>
    <w:p w:rsidR="0072495B" w:rsidRPr="0072495B" w:rsidRDefault="0072495B" w:rsidP="0072495B">
      <w:pPr>
        <w:pStyle w:val="Zkladntext2"/>
        <w:numPr>
          <w:ilvl w:val="0"/>
          <w:numId w:val="2"/>
        </w:numPr>
        <w:rPr>
          <w:rFonts w:ascii="Arial" w:hAnsi="Arial" w:cs="Arial"/>
          <w:b w:val="0"/>
          <w:bCs w:val="0"/>
          <w:color w:val="auto"/>
          <w:sz w:val="24"/>
        </w:rPr>
      </w:pPr>
      <w:r w:rsidRPr="0072495B">
        <w:rPr>
          <w:rFonts w:ascii="Arial" w:hAnsi="Arial" w:cs="Arial"/>
          <w:b w:val="0"/>
          <w:bCs w:val="0"/>
          <w:color w:val="auto"/>
          <w:sz w:val="24"/>
        </w:rPr>
        <w:t>základny lichoběžníku</w:t>
      </w:r>
    </w:p>
    <w:p w:rsidR="0072495B" w:rsidRPr="0072495B" w:rsidRDefault="0072495B" w:rsidP="0072495B">
      <w:pPr>
        <w:pStyle w:val="Zkladntext2"/>
        <w:numPr>
          <w:ilvl w:val="0"/>
          <w:numId w:val="2"/>
        </w:numPr>
        <w:rPr>
          <w:rFonts w:ascii="Arial" w:hAnsi="Arial" w:cs="Arial"/>
          <w:b w:val="0"/>
          <w:bCs w:val="0"/>
          <w:color w:val="auto"/>
          <w:sz w:val="24"/>
        </w:rPr>
      </w:pPr>
      <w:r w:rsidRPr="0072495B">
        <w:rPr>
          <w:rFonts w:ascii="Arial" w:hAnsi="Arial" w:cs="Arial"/>
          <w:b w:val="0"/>
          <w:bCs w:val="0"/>
          <w:color w:val="auto"/>
          <w:sz w:val="24"/>
        </w:rPr>
        <w:t>ramena lichoběžníku</w:t>
      </w:r>
    </w:p>
    <w:p w:rsidR="0072495B" w:rsidRPr="0072495B" w:rsidRDefault="0072495B" w:rsidP="0072495B">
      <w:pPr>
        <w:pStyle w:val="Zkladntext2"/>
        <w:numPr>
          <w:ilvl w:val="0"/>
          <w:numId w:val="2"/>
        </w:numPr>
        <w:rPr>
          <w:rFonts w:ascii="Arial" w:hAnsi="Arial" w:cs="Arial"/>
          <w:b w:val="0"/>
          <w:bCs w:val="0"/>
          <w:color w:val="auto"/>
          <w:sz w:val="24"/>
        </w:rPr>
      </w:pPr>
      <w:r w:rsidRPr="0072495B">
        <w:rPr>
          <w:rFonts w:ascii="Arial" w:hAnsi="Arial" w:cs="Arial"/>
          <w:b w:val="0"/>
          <w:bCs w:val="0"/>
          <w:color w:val="auto"/>
          <w:sz w:val="24"/>
        </w:rPr>
        <w:t>dvojice sousedních vrcholů</w:t>
      </w:r>
    </w:p>
    <w:p w:rsidR="0072495B" w:rsidRPr="0072495B" w:rsidRDefault="0072495B" w:rsidP="0072495B">
      <w:pPr>
        <w:pStyle w:val="Zkladntext2"/>
        <w:numPr>
          <w:ilvl w:val="0"/>
          <w:numId w:val="2"/>
        </w:numPr>
        <w:rPr>
          <w:rFonts w:ascii="Arial" w:hAnsi="Arial" w:cs="Arial"/>
          <w:b w:val="0"/>
          <w:bCs w:val="0"/>
          <w:color w:val="auto"/>
          <w:sz w:val="24"/>
        </w:rPr>
      </w:pPr>
      <w:r w:rsidRPr="0072495B">
        <w:rPr>
          <w:rFonts w:ascii="Arial" w:hAnsi="Arial" w:cs="Arial"/>
          <w:b w:val="0"/>
          <w:bCs w:val="0"/>
          <w:color w:val="auto"/>
          <w:sz w:val="24"/>
        </w:rPr>
        <w:t>dvojice protilehlých vrcholů</w:t>
      </w:r>
    </w:p>
    <w:p w:rsidR="0072495B" w:rsidRDefault="0072495B" w:rsidP="0072495B">
      <w:pPr>
        <w:pStyle w:val="Zkladntext2"/>
        <w:rPr>
          <w:b w:val="0"/>
          <w:bCs w:val="0"/>
          <w:color w:val="auto"/>
          <w:sz w:val="24"/>
        </w:rPr>
      </w:pPr>
    </w:p>
    <w:p w:rsidR="0072495B" w:rsidRDefault="0072495B" w:rsidP="0072495B">
      <w:pPr>
        <w:pStyle w:val="Zkladntext2"/>
        <w:rPr>
          <w:b w:val="0"/>
          <w:bCs w:val="0"/>
          <w:color w:val="auto"/>
          <w:sz w:val="24"/>
        </w:rPr>
      </w:pPr>
    </w:p>
    <w:p w:rsidR="0072495B" w:rsidRDefault="0072495B" w:rsidP="0072495B">
      <w:pPr>
        <w:pStyle w:val="Zkladntext2"/>
        <w:rPr>
          <w:b w:val="0"/>
          <w:bCs w:val="0"/>
          <w:color w:val="auto"/>
          <w:sz w:val="24"/>
        </w:rPr>
      </w:pPr>
    </w:p>
    <w:p w:rsidR="0072495B" w:rsidRDefault="0072495B" w:rsidP="0072495B">
      <w:pPr>
        <w:pStyle w:val="Zkladntext2"/>
        <w:rPr>
          <w:b w:val="0"/>
          <w:bCs w:val="0"/>
          <w:color w:val="auto"/>
          <w:sz w:val="24"/>
        </w:rPr>
      </w:pPr>
    </w:p>
    <w:p w:rsidR="0072495B" w:rsidRPr="0072495B" w:rsidRDefault="0072495B" w:rsidP="0072495B">
      <w:pPr>
        <w:pStyle w:val="Zkladntext2"/>
        <w:rPr>
          <w:rFonts w:ascii="Arial" w:hAnsi="Arial" w:cs="Arial"/>
          <w:b w:val="0"/>
          <w:bCs w:val="0"/>
          <w:color w:val="auto"/>
          <w:sz w:val="24"/>
        </w:rPr>
      </w:pPr>
      <w:r w:rsidRPr="0072495B">
        <w:rPr>
          <w:rFonts w:ascii="Arial" w:hAnsi="Arial" w:cs="Arial"/>
          <w:b w:val="0"/>
          <w:bCs w:val="0"/>
          <w:color w:val="auto"/>
          <w:sz w:val="24"/>
        </w:rPr>
        <w:t>Vypočítej velikosti zbývajících vnitřních úhlů lichoběžníka (zdůvodni).</w:t>
      </w:r>
    </w:p>
    <w:p w:rsidR="0072495B" w:rsidRDefault="003678F0">
      <w:pPr>
        <w:pStyle w:val="Zkladntext2"/>
        <w:jc w:val="center"/>
        <w:rPr>
          <w:b w:val="0"/>
          <w:bCs w:val="0"/>
          <w:highlight w:val="cyan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3985388</wp:posOffset>
            </wp:positionH>
            <wp:positionV relativeFrom="paragraph">
              <wp:posOffset>224942</wp:posOffset>
            </wp:positionV>
            <wp:extent cx="1982470" cy="14693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187325</wp:posOffset>
            </wp:positionV>
            <wp:extent cx="1856740" cy="14636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95B" w:rsidRDefault="003678F0" w:rsidP="00313613">
      <w:pPr>
        <w:pStyle w:val="Zkladntext2"/>
        <w:jc w:val="center"/>
        <w:rPr>
          <w:b w:val="0"/>
          <w:bCs w:val="0"/>
          <w:highlight w:val="cyan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39073</wp:posOffset>
            </wp:positionH>
            <wp:positionV relativeFrom="paragraph">
              <wp:posOffset>24556</wp:posOffset>
            </wp:positionV>
            <wp:extent cx="1681480" cy="114871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8F0" w:rsidRDefault="003678F0">
      <w:pPr>
        <w:pStyle w:val="Zkladntext2"/>
        <w:jc w:val="center"/>
        <w:rPr>
          <w:b w:val="0"/>
          <w:bCs w:val="0"/>
          <w:highlight w:val="cyan"/>
        </w:rPr>
      </w:pPr>
    </w:p>
    <w:p w:rsidR="003678F0" w:rsidRDefault="003678F0" w:rsidP="003678F0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color w:val="auto"/>
          <w:sz w:val="24"/>
        </w:rPr>
        <w:t>Výška lichoběžníku je vzdálenost základen.</w:t>
      </w:r>
    </w:p>
    <w:p w:rsidR="003678F0" w:rsidRDefault="00351312" w:rsidP="003678F0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 w:rsidRPr="00503D2B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5715</wp:posOffset>
            </wp:positionV>
            <wp:extent cx="3775075" cy="1443355"/>
            <wp:effectExtent l="0" t="0" r="0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8F0">
        <w:rPr>
          <w:b w:val="0"/>
          <w:bCs w:val="0"/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135255</wp:posOffset>
            </wp:positionV>
            <wp:extent cx="1971040" cy="103314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8F0" w:rsidRDefault="003678F0" w:rsidP="003678F0">
      <w:pPr>
        <w:pStyle w:val="Zkladntext2"/>
        <w:jc w:val="left"/>
        <w:rPr>
          <w:b w:val="0"/>
          <w:bCs w:val="0"/>
          <w:highlight w:val="cyan"/>
        </w:rPr>
      </w:pPr>
    </w:p>
    <w:p w:rsidR="001D4698" w:rsidRDefault="001D4698">
      <w:pPr>
        <w:pStyle w:val="Zkladntext2"/>
        <w:jc w:val="center"/>
      </w:pPr>
    </w:p>
    <w:p w:rsidR="001D4698" w:rsidRDefault="001D4698">
      <w:pPr>
        <w:pStyle w:val="Zkladntext2"/>
        <w:jc w:val="center"/>
      </w:pPr>
    </w:p>
    <w:p w:rsidR="001D4698" w:rsidRDefault="001D4698">
      <w:pPr>
        <w:pStyle w:val="Zkladntext2"/>
        <w:jc w:val="center"/>
      </w:pPr>
    </w:p>
    <w:p w:rsidR="001D4698" w:rsidRDefault="001D4698">
      <w:pPr>
        <w:pStyle w:val="Zkladntext2"/>
        <w:jc w:val="center"/>
      </w:pPr>
    </w:p>
    <w:p w:rsidR="00CA4CA5" w:rsidRDefault="00CA4CA5">
      <w:pPr>
        <w:pStyle w:val="Zkladntext2"/>
        <w:jc w:val="center"/>
      </w:pPr>
    </w:p>
    <w:p w:rsidR="00CA4CA5" w:rsidRDefault="00CA4CA5" w:rsidP="00CA4CA5">
      <w:pPr>
        <w:pStyle w:val="Zkladntext2"/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140335</wp:posOffset>
            </wp:positionV>
            <wp:extent cx="2104390" cy="126365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A5" w:rsidRDefault="00CA4CA5" w:rsidP="00CA4CA5">
      <w:pPr>
        <w:pStyle w:val="Zkladntext2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  <w:r w:rsidRPr="00CA4CA5">
        <w:rPr>
          <w:rFonts w:ascii="Arial" w:hAnsi="Arial" w:cs="Arial"/>
          <w:b w:val="0"/>
          <w:color w:val="222222"/>
          <w:sz w:val="24"/>
          <w:shd w:val="clear" w:color="auto" w:fill="FFFFFF"/>
        </w:rPr>
        <w:t>Úsečka, která spojuje středy ramen</w:t>
      </w:r>
      <w:r w:rsidRPr="00CA4CA5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CA4CA5">
        <w:rPr>
          <w:rFonts w:ascii="Arial" w:hAnsi="Arial" w:cs="Arial"/>
          <w:b w:val="0"/>
          <w:bCs w:val="0"/>
          <w:color w:val="222222"/>
          <w:sz w:val="24"/>
          <w:shd w:val="clear" w:color="auto" w:fill="FFFFFF"/>
        </w:rPr>
        <w:t>lichoběžníku</w:t>
      </w:r>
      <w:r w:rsidRPr="00CA4CA5">
        <w:rPr>
          <w:rFonts w:ascii="Arial" w:hAnsi="Arial" w:cs="Arial"/>
          <w:color w:val="222222"/>
          <w:sz w:val="24"/>
          <w:shd w:val="clear" w:color="auto" w:fill="FFFFFF"/>
        </w:rPr>
        <w:t xml:space="preserve">, </w:t>
      </w:r>
      <w:r w:rsidRPr="00CA4CA5">
        <w:rPr>
          <w:rFonts w:ascii="Arial" w:hAnsi="Arial" w:cs="Arial"/>
          <w:b w:val="0"/>
          <w:color w:val="222222"/>
          <w:sz w:val="24"/>
          <w:shd w:val="clear" w:color="auto" w:fill="FFFFFF"/>
        </w:rPr>
        <w:t>se nazývá</w:t>
      </w:r>
      <w:r w:rsidRPr="00CA4CA5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CA4CA5">
        <w:rPr>
          <w:rFonts w:ascii="Arial" w:hAnsi="Arial" w:cs="Arial"/>
          <w:bCs w:val="0"/>
          <w:i/>
          <w:color w:val="222222"/>
          <w:sz w:val="24"/>
          <w:u w:val="single"/>
          <w:shd w:val="clear" w:color="auto" w:fill="FFFFFF"/>
        </w:rPr>
        <w:t>střední příčka</w:t>
      </w:r>
      <w:r w:rsidRPr="00CA4CA5">
        <w:rPr>
          <w:rFonts w:ascii="Arial" w:hAnsi="Arial" w:cs="Arial"/>
          <w:color w:val="222222"/>
          <w:sz w:val="24"/>
          <w:shd w:val="clear" w:color="auto" w:fill="FFFFFF"/>
        </w:rPr>
        <w:t>. </w:t>
      </w:r>
    </w:p>
    <w:p w:rsidR="00CA4CA5" w:rsidRDefault="00CA4CA5" w:rsidP="00CA4CA5">
      <w:pPr>
        <w:pStyle w:val="Zkladntext2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CA4CA5" w:rsidRDefault="00313613" w:rsidP="00CA4CA5">
      <w:pPr>
        <w:pStyle w:val="Zkladntext2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 w:val="0"/>
          <w:bCs w:val="0"/>
          <w:noProof/>
          <w:color w:val="222222"/>
          <w:sz w:val="24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426085</wp:posOffset>
            </wp:positionV>
            <wp:extent cx="1036955" cy="610870"/>
            <wp:effectExtent l="19050" t="19050" r="10795" b="1778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108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CA5" w:rsidRPr="00CA4CA5">
        <w:rPr>
          <w:rFonts w:ascii="Arial" w:hAnsi="Arial" w:cs="Arial"/>
          <w:b w:val="0"/>
          <w:bCs w:val="0"/>
          <w:color w:val="222222"/>
          <w:sz w:val="24"/>
          <w:shd w:val="clear" w:color="auto" w:fill="FFFFFF"/>
        </w:rPr>
        <w:t>Střední příčka lichoběžníku</w:t>
      </w:r>
      <w:r w:rsidR="00976B03">
        <w:rPr>
          <w:rFonts w:ascii="Arial" w:hAnsi="Arial" w:cs="Arial"/>
          <w:b w:val="0"/>
          <w:bCs w:val="0"/>
          <w:color w:val="222222"/>
          <w:sz w:val="24"/>
          <w:shd w:val="clear" w:color="auto" w:fill="FFFFFF"/>
        </w:rPr>
        <w:t xml:space="preserve"> </w:t>
      </w:r>
      <w:r w:rsidR="00CA4CA5" w:rsidRPr="00CA4CA5">
        <w:rPr>
          <w:rFonts w:ascii="Arial" w:hAnsi="Arial" w:cs="Arial"/>
          <w:b w:val="0"/>
          <w:color w:val="222222"/>
          <w:sz w:val="24"/>
          <w:shd w:val="clear" w:color="auto" w:fill="FFFFFF"/>
        </w:rPr>
        <w:t xml:space="preserve">je rovnoběžná se základnami a její délka je rovna aritmetickému průměru délek základen. </w:t>
      </w:r>
      <w:r w:rsidR="00CA4CA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</w:p>
    <w:p w:rsidR="00CA4CA5" w:rsidRDefault="00CA4CA5" w:rsidP="00CA4CA5">
      <w:pPr>
        <w:pStyle w:val="Zkladntext2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313613" w:rsidRDefault="00313613" w:rsidP="00CA4CA5">
      <w:pPr>
        <w:pStyle w:val="Zkladntext2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CA4CA5" w:rsidRPr="00CA4CA5" w:rsidRDefault="00CA4CA5" w:rsidP="00CA4CA5">
      <w:pPr>
        <w:pStyle w:val="Zkladntext2"/>
        <w:jc w:val="left"/>
        <w:rPr>
          <w:sz w:val="24"/>
        </w:rPr>
      </w:pPr>
    </w:p>
    <w:p w:rsidR="00CA4CA5" w:rsidRDefault="00CA4CA5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503D2B" w:rsidRDefault="00351312" w:rsidP="00351312">
      <w:pPr>
        <w:pStyle w:val="Zkladntext2"/>
        <w:jc w:val="left"/>
        <w:rPr>
          <w:noProof/>
        </w:rPr>
      </w:pPr>
      <w:r>
        <w:rPr>
          <w:rFonts w:ascii="Arial" w:hAnsi="Arial" w:cs="Arial"/>
          <w:b w:val="0"/>
          <w:bCs w:val="0"/>
          <w:color w:val="auto"/>
          <w:sz w:val="24"/>
        </w:rPr>
        <w:t>K odvození vztahu pro výpočet obsahu lichoběžníku nám postačí znalosti z obdélníka. Pak tedy platí:</w:t>
      </w:r>
    </w:p>
    <w:p w:rsidR="00503D2B" w:rsidRDefault="00503D2B">
      <w:pPr>
        <w:pStyle w:val="Zkladntext2"/>
        <w:jc w:val="center"/>
        <w:rPr>
          <w:noProof/>
        </w:rPr>
      </w:pPr>
    </w:p>
    <w:p w:rsidR="00503D2B" w:rsidRDefault="00503D2B">
      <w:pPr>
        <w:pStyle w:val="Zkladntext2"/>
        <w:jc w:val="center"/>
        <w:rPr>
          <w:noProof/>
        </w:rPr>
      </w:pPr>
      <w:r w:rsidRPr="00503D2B">
        <w:rPr>
          <w:noProof/>
        </w:rPr>
        <w:drawing>
          <wp:inline distT="0" distB="0" distL="0" distR="0">
            <wp:extent cx="4525598" cy="923330"/>
            <wp:effectExtent l="0" t="0" r="0" b="0"/>
            <wp:docPr id="5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25598" cy="923330"/>
                      <a:chOff x="755576" y="4797152"/>
                      <a:chExt cx="4525598" cy="923330"/>
                    </a:xfrm>
                  </a:grpSpPr>
                  <a:sp>
                    <a:nvSpPr>
                      <a:cNvPr id="26" name="TextovéPole 25"/>
                      <a:cNvSpPr txBox="1"/>
                    </a:nvSpPr>
                    <a:spPr>
                      <a:xfrm>
                        <a:off x="755576" y="4797152"/>
                        <a:ext cx="4525598" cy="92333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5400" b="1" dirty="0" smtClean="0">
                              <a:solidFill>
                                <a:srgbClr val="FF0000"/>
                              </a:solidFill>
                            </a:rPr>
                            <a:t>S = (a + c) . v /2</a:t>
                          </a:r>
                          <a:endParaRPr lang="cs-CZ" sz="4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156E" w:rsidRDefault="003E3D2B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noProof/>
          <w:color w:val="auto"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3.35pt;margin-top:24.4pt;width:318.95pt;height:50.6pt;z-index:2517089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red" strokeweight="2pt">
            <v:textbox style="mso-fit-shape-to-text:t">
              <w:txbxContent>
                <w:p w:rsidR="0025156E" w:rsidRPr="0025156E" w:rsidRDefault="0025156E" w:rsidP="0025156E">
                  <w:pP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S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(z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  <w:vertAlign w:val="subscript"/>
                    </w:rPr>
                    <w:t>1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 xml:space="preserve">+ </w:t>
                  </w: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z</w:t>
                  </w:r>
                  <w:bookmarkStart w:id="0" w:name="_GoBack"/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  <w:vertAlign w:val="subscript"/>
                    </w:rPr>
                    <w:t>2</w:t>
                  </w:r>
                  <w:bookmarkEnd w:id="0"/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). v / 2</w:t>
                  </w:r>
                </w:p>
              </w:txbxContent>
            </v:textbox>
            <w10:wrap type="square"/>
          </v:shape>
        </w:pict>
      </w:r>
      <w:r w:rsidR="0025156E">
        <w:rPr>
          <w:rFonts w:ascii="Arial" w:hAnsi="Arial" w:cs="Arial"/>
          <w:b w:val="0"/>
          <w:bCs w:val="0"/>
          <w:color w:val="auto"/>
          <w:sz w:val="24"/>
        </w:rPr>
        <w:t>nebo obecně:</w:t>
      </w: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503D2B" w:rsidRDefault="00351312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color w:val="auto"/>
          <w:sz w:val="24"/>
        </w:rPr>
        <w:t>Pro výpočet obvodu jednoduše:</w:t>
      </w:r>
    </w:p>
    <w:p w:rsidR="00351312" w:rsidRDefault="003E3D2B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 w:rsidRPr="003E3D2B">
        <w:rPr>
          <w:noProof/>
        </w:rPr>
        <w:pict>
          <v:shape id="Textové pole 2" o:spid="_x0000_s1029" type="#_x0000_t202" style="position:absolute;margin-left:83.35pt;margin-top:10.6pt;width:318.95pt;height:50.6pt;z-index:2517068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red" strokeweight="2pt">
            <v:textbox style="mso-fit-shape-to-text:t">
              <w:txbxContent>
                <w:p w:rsidR="0025156E" w:rsidRPr="0025156E" w:rsidRDefault="0025156E">
                  <w:pP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</w:pP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O = a + b + c + d</w:t>
                  </w:r>
                </w:p>
              </w:txbxContent>
            </v:textbox>
            <w10:wrap type="square"/>
          </v:shape>
        </w:pict>
      </w: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25156E" w:rsidRDefault="0025156E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351312" w:rsidRDefault="00351312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color w:val="auto"/>
          <w:sz w:val="24"/>
        </w:rPr>
        <w:t>Pro případ rovnoramenného lichoběžníku může vypadat vzorec i takto:</w:t>
      </w:r>
    </w:p>
    <w:p w:rsidR="0025156E" w:rsidRDefault="003E3D2B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noProof/>
          <w:color w:val="auto"/>
          <w:sz w:val="24"/>
        </w:rPr>
        <w:pict>
          <v:shape id="_x0000_s1030" type="#_x0000_t202" style="position:absolute;margin-left:81.8pt;margin-top:7.6pt;width:318.95pt;height:50.6pt;z-index:2517079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red" strokeweight="2pt">
            <v:textbox style="mso-fit-shape-to-text:t">
              <w:txbxContent>
                <w:p w:rsidR="0025156E" w:rsidRPr="0025156E" w:rsidRDefault="0025156E" w:rsidP="0025156E">
                  <w:pP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</w:pP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 xml:space="preserve">O = </w:t>
                  </w: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z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  <w:vertAlign w:val="subscript"/>
                    </w:rPr>
                    <w:t>1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 xml:space="preserve">+ </w:t>
                  </w: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z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  <w:vertAlign w:val="subscript"/>
                    </w:rPr>
                    <w:t>2</w:t>
                  </w:r>
                  <w:r w:rsidRPr="0025156E"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 xml:space="preserve"> + </w:t>
                  </w: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2r</w:t>
                  </w:r>
                </w:p>
              </w:txbxContent>
            </v:textbox>
            <w10:wrap type="square"/>
          </v:shape>
        </w:pict>
      </w:r>
    </w:p>
    <w:p w:rsidR="00351312" w:rsidRDefault="00351312" w:rsidP="00351312">
      <w:pPr>
        <w:pStyle w:val="Zkladntext2"/>
        <w:jc w:val="left"/>
        <w:rPr>
          <w:rFonts w:ascii="Arial" w:hAnsi="Arial" w:cs="Arial"/>
          <w:b w:val="0"/>
          <w:bCs w:val="0"/>
          <w:color w:val="auto"/>
          <w:sz w:val="24"/>
        </w:rPr>
      </w:pPr>
    </w:p>
    <w:p w:rsidR="00351312" w:rsidRDefault="00351312" w:rsidP="00351312">
      <w:pPr>
        <w:pStyle w:val="Zkladntext2"/>
        <w:jc w:val="left"/>
        <w:rPr>
          <w:noProof/>
        </w:rPr>
      </w:pPr>
    </w:p>
    <w:p w:rsidR="00503D2B" w:rsidRDefault="00503D2B">
      <w:pPr>
        <w:pStyle w:val="Zkladntext2"/>
        <w:jc w:val="center"/>
        <w:rPr>
          <w:noProof/>
        </w:rPr>
      </w:pPr>
    </w:p>
    <w:p w:rsidR="001D4698" w:rsidRDefault="001D4698">
      <w:pPr>
        <w:pStyle w:val="Zkladntext2"/>
        <w:jc w:val="center"/>
        <w:rPr>
          <w:b w:val="0"/>
          <w:bCs w:val="0"/>
          <w:highlight w:val="cyan"/>
        </w:rPr>
      </w:pPr>
    </w:p>
    <w:sectPr w:rsidR="001D4698" w:rsidSect="00D2235B">
      <w:headerReference w:type="default" r:id="rId2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93" w:rsidRDefault="00C17093" w:rsidP="00C17093">
      <w:r>
        <w:separator/>
      </w:r>
    </w:p>
  </w:endnote>
  <w:endnote w:type="continuationSeparator" w:id="1">
    <w:p w:rsidR="00C17093" w:rsidRDefault="00C17093" w:rsidP="00C1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93" w:rsidRDefault="00C17093" w:rsidP="00C17093">
      <w:r>
        <w:separator/>
      </w:r>
    </w:p>
  </w:footnote>
  <w:footnote w:type="continuationSeparator" w:id="1">
    <w:p w:rsidR="00C17093" w:rsidRDefault="00C17093" w:rsidP="00C1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93" w:rsidRDefault="00C17093" w:rsidP="00C17093">
    <w:pPr>
      <w:pStyle w:val="Zhlav"/>
      <w:jc w:val="right"/>
    </w:pPr>
    <w:r>
      <w:t>MATEMATIKA 7</w:t>
    </w:r>
  </w:p>
  <w:p w:rsidR="00C17093" w:rsidRDefault="00C170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1A8"/>
    <w:multiLevelType w:val="hybridMultilevel"/>
    <w:tmpl w:val="D84A38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C5162"/>
    <w:multiLevelType w:val="hybridMultilevel"/>
    <w:tmpl w:val="728A9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71DBE"/>
    <w:multiLevelType w:val="hybridMultilevel"/>
    <w:tmpl w:val="F62A3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34693"/>
    <w:multiLevelType w:val="hybridMultilevel"/>
    <w:tmpl w:val="B3FC7AD2"/>
    <w:lvl w:ilvl="0" w:tplc="B52E5D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476BBB"/>
    <w:multiLevelType w:val="hybridMultilevel"/>
    <w:tmpl w:val="53461D56"/>
    <w:lvl w:ilvl="0" w:tplc="E43EC50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5FAD"/>
    <w:multiLevelType w:val="hybridMultilevel"/>
    <w:tmpl w:val="03CCFDC0"/>
    <w:lvl w:ilvl="0" w:tplc="6510A04C">
      <w:start w:val="1"/>
      <w:numFmt w:val="lowerLetter"/>
      <w:lvlText w:val="%1)"/>
      <w:lvlJc w:val="left"/>
      <w:pPr>
        <w:ind w:left="750" w:hanging="390"/>
      </w:pPr>
      <w:rPr>
        <w:rFonts w:ascii="Comic Sans MS" w:hAnsi="Comic Sans MS" w:cs="Arial" w:hint="default"/>
        <w:color w:val="0070C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24F4"/>
    <w:multiLevelType w:val="hybridMultilevel"/>
    <w:tmpl w:val="A34AC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1EDD"/>
    <w:multiLevelType w:val="hybridMultilevel"/>
    <w:tmpl w:val="F7B8E6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C5F"/>
    <w:rsid w:val="00124D53"/>
    <w:rsid w:val="001D4698"/>
    <w:rsid w:val="0025156E"/>
    <w:rsid w:val="00251A46"/>
    <w:rsid w:val="0028147E"/>
    <w:rsid w:val="002D47AB"/>
    <w:rsid w:val="00313613"/>
    <w:rsid w:val="00351312"/>
    <w:rsid w:val="003678F0"/>
    <w:rsid w:val="003C0877"/>
    <w:rsid w:val="003E3D2B"/>
    <w:rsid w:val="00503D2B"/>
    <w:rsid w:val="00583D42"/>
    <w:rsid w:val="0072495B"/>
    <w:rsid w:val="0085000B"/>
    <w:rsid w:val="00976B03"/>
    <w:rsid w:val="00A24C5F"/>
    <w:rsid w:val="00B40C09"/>
    <w:rsid w:val="00C17093"/>
    <w:rsid w:val="00CA4CA5"/>
    <w:rsid w:val="00D2235B"/>
    <w:rsid w:val="00D3408D"/>
    <w:rsid w:val="00F33D37"/>
    <w:rsid w:val="00F8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D0D"/>
    <w:rPr>
      <w:sz w:val="24"/>
      <w:szCs w:val="24"/>
    </w:rPr>
  </w:style>
  <w:style w:type="paragraph" w:styleId="Nadpis1">
    <w:name w:val="heading 1"/>
    <w:basedOn w:val="Normln"/>
    <w:next w:val="Normln"/>
    <w:qFormat/>
    <w:rsid w:val="00F83D0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83D0D"/>
    <w:pPr>
      <w:keepNext/>
      <w:jc w:val="center"/>
      <w:outlineLvl w:val="1"/>
    </w:pPr>
    <w:rPr>
      <w:b/>
      <w:bCs/>
      <w:color w:val="FF0000"/>
    </w:rPr>
  </w:style>
  <w:style w:type="paragraph" w:styleId="Nadpis3">
    <w:name w:val="heading 3"/>
    <w:basedOn w:val="Normln"/>
    <w:next w:val="Normln"/>
    <w:qFormat/>
    <w:rsid w:val="00F83D0D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83D0D"/>
    <w:pPr>
      <w:keepNext/>
      <w:jc w:val="both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F83D0D"/>
    <w:pPr>
      <w:keepNext/>
      <w:jc w:val="both"/>
      <w:outlineLvl w:val="4"/>
    </w:pPr>
    <w:rPr>
      <w:b/>
      <w:bCs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3D0D"/>
    <w:pPr>
      <w:jc w:val="center"/>
    </w:pPr>
    <w:rPr>
      <w:b/>
      <w:bCs/>
      <w:color w:val="FF0000"/>
      <w:sz w:val="36"/>
    </w:rPr>
  </w:style>
  <w:style w:type="paragraph" w:styleId="Zkladntext">
    <w:name w:val="Body Text"/>
    <w:basedOn w:val="Normln"/>
    <w:semiHidden/>
    <w:rsid w:val="00F83D0D"/>
    <w:pPr>
      <w:jc w:val="both"/>
    </w:pPr>
    <w:rPr>
      <w:i/>
      <w:iCs/>
    </w:rPr>
  </w:style>
  <w:style w:type="paragraph" w:styleId="Zkladntext2">
    <w:name w:val="Body Text 2"/>
    <w:basedOn w:val="Normln"/>
    <w:semiHidden/>
    <w:rsid w:val="00F83D0D"/>
    <w:pPr>
      <w:jc w:val="both"/>
    </w:pPr>
    <w:rPr>
      <w:b/>
      <w:bCs/>
      <w:color w:val="FF0000"/>
      <w:sz w:val="32"/>
    </w:rPr>
  </w:style>
  <w:style w:type="paragraph" w:styleId="Zkladntext3">
    <w:name w:val="Body Text 3"/>
    <w:basedOn w:val="Normln"/>
    <w:semiHidden/>
    <w:rsid w:val="00F83D0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17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09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17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709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F37987CCBEC49AF5E9F3E9C689E4B" ma:contentTypeVersion="1" ma:contentTypeDescription="Vytvoří nový dokument" ma:contentTypeScope="" ma:versionID="89140eccf3f6a85afecd9534d97cb278">
  <xsd:schema xmlns:xsd="http://www.w3.org/2001/XMLSchema" xmlns:xs="http://www.w3.org/2001/XMLSchema" xmlns:p="http://schemas.microsoft.com/office/2006/metadata/properties" xmlns:ns1="http://schemas.microsoft.com/sharepoint/v3" xmlns:ns2="f3dd199b-9a0f-4089-be75-8b1e9c5dde34" targetNamespace="http://schemas.microsoft.com/office/2006/metadata/properties" ma:root="true" ma:fieldsID="6981d80e213ab4444aaed6c41448157d" ns1:_="" ns2:_="">
    <xsd:import namespace="http://schemas.microsoft.com/sharepoint/v3"/>
    <xsd:import namespace="f3dd199b-9a0f-4089-be75-8b1e9c5dd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d199b-9a0f-4089-be75-8b1e9c5dd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A3593-2DAD-488A-9F56-4655BF39D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dd199b-9a0f-4089-be75-8b1e9c5dd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9C5B0-7559-4D67-A974-31D7671527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5774DA-4210-46A1-8816-1059FD43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F600F-872A-4AFF-AE9A-7D005454B7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490FDC-03A0-467D-8EDA-7C7629E98F5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21D88A-66B7-4BC0-BDEA-8C6D1CC63DFE}">
  <ds:schemaRefs>
    <ds:schemaRef ds:uri="f3dd199b-9a0f-4089-be75-8b1e9c5dde34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377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C H O B Ě Ž N Í K</vt:lpstr>
    </vt:vector>
  </TitlesOfParts>
  <Company>KUKAN COMPANY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C H O B Ě Ž N Í K</dc:title>
  <cp:lastModifiedBy>lubomir.krapka</cp:lastModifiedBy>
  <cp:revision>15</cp:revision>
  <dcterms:created xsi:type="dcterms:W3CDTF">2019-03-28T09:38:00Z</dcterms:created>
  <dcterms:modified xsi:type="dcterms:W3CDTF">2019-04-12T05:56:00Z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QDXJJS2XEJ7T-577-28</vt:lpwstr>
  </property>
  <property fmtid="{D5CDD505-2E9C-101B-9397-08002B2CF9AE}" pid="3" name="_dlc_DocIdItemGuid">
    <vt:lpwstr>f022db3f-a731-427e-a6cf-37d95f2e20af</vt:lpwstr>
  </property>
  <property fmtid="{D5CDD505-2E9C-101B-9397-08002B2CF9AE}" pid="4" name="_dlc_DocIdUrl">
    <vt:lpwstr>https://www.zkola.cz/sofia/pedagogove/kabinetmat/metodickematerialy/_layouts/DocIdRedir.aspx?ID=QDXJJS2XEJ7T-577-28, QDXJJS2XEJ7T-577-28</vt:lpwstr>
  </property>
</Properties>
</file>